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before="156" w:beforeLines="50" w:after="156" w:afterLines="50" w:line="24" w:lineRule="atLeast"/>
        <w:outlineLvl w:val="0"/>
        <w:rPr>
          <w:rFonts w:hint="eastAsia"/>
          <w:b/>
          <w:bCs/>
          <w:sz w:val="44"/>
          <w:szCs w:val="52"/>
          <w:lang w:val="en-US" w:eastAsia="zh-CN"/>
        </w:rPr>
      </w:pPr>
      <w:r>
        <w:rPr>
          <w:rFonts w:hint="eastAsia" w:ascii="微软雅黑" w:hAnsi="微软雅黑" w:eastAsia="微软雅黑"/>
          <w:b w:val="0"/>
          <w:bCs/>
          <w:color w:val="000000"/>
          <w:sz w:val="28"/>
          <w:szCs w:val="21"/>
        </w:rPr>
        <w:t>附件</w:t>
      </w:r>
      <w:r>
        <w:rPr>
          <w:rFonts w:hint="eastAsia" w:ascii="微软雅黑" w:hAnsi="微软雅黑" w:eastAsia="微软雅黑"/>
          <w:b w:val="0"/>
          <w:bCs/>
          <w:color w:val="000000"/>
          <w:sz w:val="28"/>
          <w:szCs w:val="21"/>
          <w:lang w:val="en-US" w:eastAsia="zh-CN"/>
        </w:rPr>
        <w:t>1</w:t>
      </w:r>
      <w:r>
        <w:rPr>
          <w:rFonts w:hint="eastAsia" w:ascii="微软雅黑" w:hAnsi="微软雅黑" w:eastAsia="微软雅黑"/>
          <w:b w:val="0"/>
          <w:bCs/>
          <w:color w:val="000000"/>
          <w:sz w:val="28"/>
          <w:szCs w:val="21"/>
        </w:rPr>
        <w:t>：</w:t>
      </w:r>
    </w:p>
    <w:p>
      <w:pPr>
        <w:pageBreakBefore w:val="0"/>
        <w:tabs>
          <w:tab w:val="left" w:pos="5250"/>
        </w:tabs>
        <w:kinsoku/>
        <w:wordWrap/>
        <w:overflowPunct/>
        <w:topLinePunct w:val="0"/>
        <w:autoSpaceDE/>
        <w:autoSpaceDN/>
        <w:bidi w:val="0"/>
        <w:spacing w:line="24" w:lineRule="atLeast"/>
        <w:jc w:val="center"/>
        <w:rPr>
          <w:rFonts w:hint="eastAsia"/>
          <w:b/>
          <w:bCs/>
          <w:sz w:val="44"/>
          <w:szCs w:val="52"/>
          <w:lang w:val="en-US" w:eastAsia="zh-CN"/>
        </w:rPr>
      </w:pPr>
      <w:r>
        <w:rPr>
          <w:rFonts w:hint="eastAsia"/>
          <w:b/>
          <w:bCs/>
          <w:sz w:val="44"/>
          <w:szCs w:val="52"/>
          <w:lang w:val="en-US" w:eastAsia="zh-CN"/>
        </w:rPr>
        <w:t>住院楼人员管控系统技术参数</w:t>
      </w:r>
    </w:p>
    <w:p>
      <w:pPr>
        <w:pStyle w:val="3"/>
        <w:pageBreakBefore w:val="0"/>
        <w:kinsoku/>
        <w:wordWrap/>
        <w:overflowPunct/>
        <w:topLinePunct w:val="0"/>
        <w:autoSpaceDE/>
        <w:autoSpaceDN/>
        <w:bidi w:val="0"/>
        <w:spacing w:line="24" w:lineRule="atLeast"/>
        <w:rPr>
          <w:rFonts w:hint="eastAsia"/>
          <w:lang w:val="en-US" w:eastAsia="zh-CN"/>
        </w:rPr>
      </w:pPr>
      <w:r>
        <w:rPr>
          <w:rFonts w:hint="eastAsia"/>
          <w:lang w:val="en-US" w:eastAsia="zh-CN"/>
        </w:rPr>
        <w:t>采购清单</w:t>
      </w:r>
    </w:p>
    <w:tbl>
      <w:tblPr>
        <w:tblStyle w:val="15"/>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045"/>
        <w:gridCol w:w="1847"/>
        <w:gridCol w:w="2936"/>
        <w:gridCol w:w="1256"/>
        <w:gridCol w:w="14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8" w:hRule="atLeast"/>
        </w:trPr>
        <w:tc>
          <w:tcPr>
            <w:tcW w:w="613"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序号</w:t>
            </w:r>
          </w:p>
        </w:tc>
        <w:tc>
          <w:tcPr>
            <w:tcW w:w="2807" w:type="pct"/>
            <w:gridSpan w:val="2"/>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产品</w:t>
            </w:r>
          </w:p>
        </w:tc>
        <w:tc>
          <w:tcPr>
            <w:tcW w:w="737"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842"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71" w:hRule="atLeast"/>
        </w:trPr>
        <w:tc>
          <w:tcPr>
            <w:tcW w:w="613" w:type="pct"/>
            <w:tcBorders>
              <w:tl2br w:val="nil"/>
              <w:tr2bl w:val="nil"/>
            </w:tcBorders>
            <w:shd w:val="clear" w:color="auto" w:fill="FFFFFF"/>
            <w:vAlign w:val="top"/>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left"/>
              <w:textAlignment w:val="top"/>
              <w:rPr>
                <w:rStyle w:val="18"/>
                <w:rFonts w:hint="default"/>
                <w:lang w:val="en-US" w:eastAsia="zh-CN" w:bidi="ar"/>
              </w:rPr>
            </w:pPr>
          </w:p>
        </w:tc>
        <w:tc>
          <w:tcPr>
            <w:tcW w:w="2807" w:type="pct"/>
            <w:gridSpan w:val="2"/>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住院楼人脸识别测温一体机</w:t>
            </w:r>
          </w:p>
        </w:tc>
        <w:tc>
          <w:tcPr>
            <w:tcW w:w="737"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2台</w:t>
            </w:r>
          </w:p>
        </w:tc>
        <w:tc>
          <w:tcPr>
            <w:tcW w:w="842"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eastAsia" w:ascii="宋体" w:hAnsi="宋体" w:eastAsia="宋体" w:cs="宋体"/>
                <w:i w:val="0"/>
                <w:iCs w:val="0"/>
                <w:color w:val="000000"/>
                <w:kern w:val="0"/>
                <w:sz w:val="28"/>
                <w:szCs w:val="2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79" w:hRule="atLeast"/>
        </w:trPr>
        <w:tc>
          <w:tcPr>
            <w:tcW w:w="613" w:type="pct"/>
            <w:vMerge w:val="restart"/>
            <w:tcBorders>
              <w:tl2br w:val="nil"/>
              <w:tr2bl w:val="nil"/>
            </w:tcBorders>
            <w:shd w:val="clear" w:color="auto" w:fill="FFFFFF"/>
            <w:vAlign w:val="top"/>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left"/>
              <w:textAlignment w:val="top"/>
              <w:rPr>
                <w:rStyle w:val="18"/>
                <w:rFonts w:hint="default"/>
                <w:lang w:val="en-US" w:eastAsia="zh-CN" w:bidi="ar"/>
              </w:rPr>
            </w:pPr>
          </w:p>
        </w:tc>
        <w:tc>
          <w:tcPr>
            <w:tcW w:w="1084" w:type="pct"/>
            <w:vMerge w:val="restart"/>
            <w:tcBorders>
              <w:right w:val="single" w:color="auto" w:sz="4" w:space="0"/>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Style w:val="18"/>
                <w:rFonts w:hint="eastAsia"/>
                <w:lang w:val="en-US" w:eastAsia="zh-CN" w:bidi="ar"/>
              </w:rPr>
            </w:pPr>
            <w:r>
              <w:rPr>
                <w:rStyle w:val="18"/>
                <w:rFonts w:hint="eastAsia"/>
                <w:lang w:val="en-US" w:eastAsia="zh-CN" w:bidi="ar"/>
              </w:rPr>
              <w:t>人行通道闸</w:t>
            </w:r>
          </w:p>
        </w:tc>
        <w:tc>
          <w:tcPr>
            <w:tcW w:w="1722" w:type="pct"/>
            <w:tcBorders>
              <w:left w:val="single" w:color="auto" w:sz="4" w:space="0"/>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Style w:val="18"/>
                <w:rFonts w:hint="eastAsia"/>
                <w:lang w:val="en-US" w:eastAsia="zh-CN" w:bidi="ar"/>
              </w:rPr>
            </w:pPr>
            <w:r>
              <w:rPr>
                <w:rStyle w:val="18"/>
                <w:lang w:val="en-US" w:eastAsia="zh-CN" w:bidi="ar"/>
              </w:rPr>
              <w:t>单机芯速通闸机</w:t>
            </w:r>
          </w:p>
        </w:tc>
        <w:tc>
          <w:tcPr>
            <w:tcW w:w="737"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w:t>
            </w:r>
            <w:r>
              <w:rPr>
                <w:rFonts w:hint="eastAsia" w:ascii="宋体" w:hAnsi="宋体" w:eastAsia="宋体" w:cs="宋体"/>
                <w:i w:val="0"/>
                <w:iCs w:val="0"/>
                <w:color w:val="000000"/>
                <w:kern w:val="0"/>
                <w:sz w:val="28"/>
                <w:szCs w:val="28"/>
                <w:u w:val="none"/>
                <w:lang w:val="en-US" w:eastAsia="zh-CN" w:bidi="ar"/>
              </w:rPr>
              <w:t>台</w:t>
            </w:r>
          </w:p>
        </w:tc>
        <w:tc>
          <w:tcPr>
            <w:tcW w:w="842"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eastAsia" w:ascii="宋体" w:hAnsi="宋体" w:eastAsia="宋体" w:cs="宋体"/>
                <w:i w:val="0"/>
                <w:iCs w:val="0"/>
                <w:color w:val="000000"/>
                <w:sz w:val="28"/>
                <w:szCs w:val="2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2" w:hRule="atLeast"/>
        </w:trPr>
        <w:tc>
          <w:tcPr>
            <w:tcW w:w="613" w:type="pct"/>
            <w:vMerge w:val="continue"/>
            <w:tcBorders>
              <w:tl2br w:val="nil"/>
              <w:tr2bl w:val="nil"/>
            </w:tcBorders>
            <w:shd w:val="clear" w:color="auto" w:fill="FFFFFF"/>
            <w:vAlign w:val="top"/>
          </w:tcPr>
          <w:p>
            <w:pPr>
              <w:keepNext w:val="0"/>
              <w:keepLines w:val="0"/>
              <w:pageBreakBefore w:val="0"/>
              <w:widowControl/>
              <w:suppressLineNumbers w:val="0"/>
              <w:tabs>
                <w:tab w:val="left" w:pos="571"/>
              </w:tabs>
              <w:kinsoku/>
              <w:wordWrap/>
              <w:overflowPunct/>
              <w:topLinePunct w:val="0"/>
              <w:autoSpaceDE/>
              <w:autoSpaceDN/>
              <w:bidi w:val="0"/>
              <w:snapToGrid w:val="0"/>
              <w:spacing w:line="24" w:lineRule="atLeast"/>
              <w:jc w:val="left"/>
              <w:textAlignment w:val="top"/>
              <w:rPr>
                <w:rStyle w:val="18"/>
                <w:rFonts w:hint="default"/>
                <w:lang w:val="en-US" w:eastAsia="zh-CN" w:bidi="ar"/>
              </w:rPr>
            </w:pPr>
          </w:p>
        </w:tc>
        <w:tc>
          <w:tcPr>
            <w:tcW w:w="1084" w:type="pct"/>
            <w:vMerge w:val="continue"/>
            <w:tcBorders>
              <w:right w:val="single" w:color="auto" w:sz="4" w:space="0"/>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Style w:val="18"/>
                <w:rFonts w:hint="eastAsia"/>
                <w:lang w:val="en-US" w:eastAsia="zh-CN" w:bidi="ar"/>
              </w:rPr>
            </w:pPr>
          </w:p>
        </w:tc>
        <w:tc>
          <w:tcPr>
            <w:tcW w:w="1722" w:type="pct"/>
            <w:tcBorders>
              <w:left w:val="single" w:color="auto" w:sz="4" w:space="0"/>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Style w:val="18"/>
                <w:rFonts w:hint="eastAsia"/>
                <w:lang w:val="en-US" w:eastAsia="zh-CN" w:bidi="ar"/>
              </w:rPr>
            </w:pPr>
            <w:r>
              <w:rPr>
                <w:rStyle w:val="18"/>
                <w:lang w:val="en-US" w:eastAsia="zh-CN" w:bidi="ar"/>
              </w:rPr>
              <w:t>双机芯速通闸机</w:t>
            </w:r>
          </w:p>
        </w:tc>
        <w:tc>
          <w:tcPr>
            <w:tcW w:w="737"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w:t>
            </w:r>
            <w:r>
              <w:rPr>
                <w:rFonts w:hint="eastAsia" w:ascii="宋体" w:hAnsi="宋体" w:eastAsia="宋体" w:cs="宋体"/>
                <w:i w:val="0"/>
                <w:iCs w:val="0"/>
                <w:color w:val="000000"/>
                <w:kern w:val="0"/>
                <w:sz w:val="28"/>
                <w:szCs w:val="28"/>
                <w:u w:val="none"/>
                <w:lang w:val="en-US" w:eastAsia="zh-CN" w:bidi="ar"/>
              </w:rPr>
              <w:t>台</w:t>
            </w:r>
          </w:p>
        </w:tc>
        <w:tc>
          <w:tcPr>
            <w:tcW w:w="842"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eastAsia" w:ascii="宋体" w:hAnsi="宋体" w:eastAsia="宋体" w:cs="宋体"/>
                <w:i w:val="0"/>
                <w:iCs w:val="0"/>
                <w:color w:val="000000"/>
                <w:sz w:val="28"/>
                <w:szCs w:val="2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96" w:hRule="atLeast"/>
        </w:trPr>
        <w:tc>
          <w:tcPr>
            <w:tcW w:w="613" w:type="pct"/>
            <w:tcBorders>
              <w:tl2br w:val="nil"/>
              <w:tr2bl w:val="nil"/>
            </w:tcBorders>
            <w:shd w:val="clear" w:color="auto" w:fill="FFFFFF"/>
            <w:vAlign w:val="top"/>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left"/>
              <w:textAlignment w:val="top"/>
              <w:rPr>
                <w:rStyle w:val="18"/>
                <w:rFonts w:hint="default"/>
                <w:lang w:val="en-US" w:eastAsia="zh-CN" w:bidi="ar"/>
              </w:rPr>
            </w:pPr>
          </w:p>
        </w:tc>
        <w:tc>
          <w:tcPr>
            <w:tcW w:w="2807" w:type="pct"/>
            <w:gridSpan w:val="2"/>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Style w:val="18"/>
                <w:rFonts w:hint="eastAsia"/>
                <w:lang w:val="en-US" w:eastAsia="zh-CN" w:bidi="ar"/>
              </w:rPr>
            </w:pPr>
            <w:r>
              <w:rPr>
                <w:rStyle w:val="18"/>
                <w:rFonts w:hint="eastAsia"/>
                <w:lang w:val="en-US" w:eastAsia="zh-CN" w:bidi="ar"/>
              </w:rPr>
              <w:t>住院楼人员通行闸机及控制管理系统</w:t>
            </w:r>
          </w:p>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Style w:val="18"/>
                <w:rFonts w:hint="eastAsia"/>
                <w:lang w:val="en-US" w:eastAsia="zh-CN" w:bidi="ar"/>
              </w:rPr>
            </w:pPr>
            <w:r>
              <w:rPr>
                <w:rStyle w:val="18"/>
                <w:rFonts w:hint="eastAsia"/>
                <w:lang w:val="en-US" w:eastAsia="zh-CN" w:bidi="ar"/>
              </w:rPr>
              <w:t>,含：</w:t>
            </w:r>
          </w:p>
          <w:p>
            <w:pPr>
              <w:keepNext w:val="0"/>
              <w:keepLines w:val="0"/>
              <w:pageBreakBefore w:val="0"/>
              <w:widowControl/>
              <w:numPr>
                <w:ilvl w:val="0"/>
                <w:numId w:val="3"/>
              </w:numPr>
              <w:suppressLineNumbers w:val="0"/>
              <w:kinsoku/>
              <w:wordWrap/>
              <w:overflowPunct/>
              <w:topLinePunct w:val="0"/>
              <w:autoSpaceDE/>
              <w:autoSpaceDN/>
              <w:bidi w:val="0"/>
              <w:snapToGrid w:val="0"/>
              <w:spacing w:line="24" w:lineRule="atLeast"/>
              <w:jc w:val="left"/>
              <w:textAlignment w:val="top"/>
              <w:rPr>
                <w:rStyle w:val="18"/>
                <w:rFonts w:hint="eastAsia"/>
                <w:lang w:val="en-US" w:eastAsia="zh-CN" w:bidi="ar"/>
              </w:rPr>
            </w:pPr>
            <w:r>
              <w:rPr>
                <w:rStyle w:val="18"/>
                <w:rFonts w:hint="eastAsia"/>
                <w:lang w:val="en-US" w:eastAsia="zh-CN" w:bidi="ar"/>
              </w:rPr>
              <w:t>通行闸机及控制管理系统基础框架系统1套</w:t>
            </w:r>
          </w:p>
          <w:p>
            <w:pPr>
              <w:keepNext w:val="0"/>
              <w:keepLines w:val="0"/>
              <w:pageBreakBefore w:val="0"/>
              <w:widowControl/>
              <w:numPr>
                <w:ilvl w:val="0"/>
                <w:numId w:val="3"/>
              </w:numPr>
              <w:suppressLineNumbers w:val="0"/>
              <w:kinsoku/>
              <w:wordWrap/>
              <w:overflowPunct/>
              <w:topLinePunct w:val="0"/>
              <w:autoSpaceDE/>
              <w:autoSpaceDN/>
              <w:bidi w:val="0"/>
              <w:snapToGrid w:val="0"/>
              <w:spacing w:line="24" w:lineRule="atLeast"/>
              <w:jc w:val="left"/>
              <w:textAlignment w:val="top"/>
              <w:rPr>
                <w:rStyle w:val="18"/>
                <w:rFonts w:hint="default"/>
                <w:lang w:val="en-US" w:eastAsia="zh-CN" w:bidi="ar"/>
              </w:rPr>
            </w:pPr>
            <w:r>
              <w:rPr>
                <w:rStyle w:val="18"/>
                <w:rFonts w:hint="eastAsia"/>
                <w:lang w:val="en-US" w:eastAsia="zh-CN" w:bidi="ar"/>
              </w:rPr>
              <w:t>通行管理动态监控平台1套</w:t>
            </w:r>
          </w:p>
          <w:p>
            <w:pPr>
              <w:keepNext w:val="0"/>
              <w:keepLines w:val="0"/>
              <w:pageBreakBefore w:val="0"/>
              <w:widowControl/>
              <w:numPr>
                <w:ilvl w:val="0"/>
                <w:numId w:val="3"/>
              </w:numPr>
              <w:suppressLineNumbers w:val="0"/>
              <w:kinsoku/>
              <w:wordWrap/>
              <w:overflowPunct/>
              <w:topLinePunct w:val="0"/>
              <w:autoSpaceDE/>
              <w:autoSpaceDN/>
              <w:bidi w:val="0"/>
              <w:snapToGrid w:val="0"/>
              <w:spacing w:line="24" w:lineRule="atLeast"/>
              <w:jc w:val="left"/>
              <w:textAlignment w:val="top"/>
              <w:rPr>
                <w:rStyle w:val="18"/>
                <w:rFonts w:hint="default"/>
                <w:lang w:val="en-US" w:eastAsia="zh-CN" w:bidi="ar"/>
              </w:rPr>
            </w:pPr>
            <w:r>
              <w:rPr>
                <w:rStyle w:val="18"/>
                <w:rFonts w:hint="eastAsia"/>
                <w:lang w:val="en-US" w:eastAsia="zh-CN" w:bidi="ar"/>
              </w:rPr>
              <w:t>医护人员管理子系统1套</w:t>
            </w:r>
          </w:p>
          <w:p>
            <w:pPr>
              <w:keepNext w:val="0"/>
              <w:keepLines w:val="0"/>
              <w:pageBreakBefore w:val="0"/>
              <w:widowControl/>
              <w:numPr>
                <w:ilvl w:val="0"/>
                <w:numId w:val="3"/>
              </w:numPr>
              <w:suppressLineNumbers w:val="0"/>
              <w:kinsoku/>
              <w:wordWrap/>
              <w:overflowPunct/>
              <w:topLinePunct w:val="0"/>
              <w:autoSpaceDE/>
              <w:autoSpaceDN/>
              <w:bidi w:val="0"/>
              <w:snapToGrid w:val="0"/>
              <w:spacing w:line="24" w:lineRule="atLeast"/>
              <w:jc w:val="left"/>
              <w:textAlignment w:val="top"/>
              <w:rPr>
                <w:rStyle w:val="18"/>
                <w:rFonts w:hint="default"/>
                <w:lang w:val="en-US" w:eastAsia="zh-CN" w:bidi="ar"/>
              </w:rPr>
            </w:pPr>
            <w:r>
              <w:rPr>
                <w:rStyle w:val="18"/>
                <w:rFonts w:hint="eastAsia"/>
                <w:lang w:val="en-US" w:eastAsia="zh-CN" w:bidi="ar"/>
              </w:rPr>
              <w:t>住院病人管理子系统1套</w:t>
            </w:r>
          </w:p>
          <w:p>
            <w:pPr>
              <w:keepNext w:val="0"/>
              <w:keepLines w:val="0"/>
              <w:pageBreakBefore w:val="0"/>
              <w:widowControl/>
              <w:numPr>
                <w:ilvl w:val="0"/>
                <w:numId w:val="3"/>
              </w:numPr>
              <w:suppressLineNumbers w:val="0"/>
              <w:kinsoku/>
              <w:wordWrap/>
              <w:overflowPunct/>
              <w:topLinePunct w:val="0"/>
              <w:autoSpaceDE/>
              <w:autoSpaceDN/>
              <w:bidi w:val="0"/>
              <w:snapToGrid w:val="0"/>
              <w:spacing w:line="24" w:lineRule="atLeast"/>
              <w:jc w:val="left"/>
              <w:textAlignment w:val="top"/>
              <w:rPr>
                <w:rStyle w:val="18"/>
                <w:rFonts w:hint="default"/>
                <w:lang w:val="en-US" w:eastAsia="zh-CN" w:bidi="ar"/>
              </w:rPr>
            </w:pPr>
            <w:r>
              <w:rPr>
                <w:rStyle w:val="18"/>
                <w:rFonts w:hint="eastAsia"/>
                <w:lang w:val="en-US" w:eastAsia="zh-CN" w:bidi="ar"/>
              </w:rPr>
              <w:t>陪护人员管理子系统1套</w:t>
            </w:r>
          </w:p>
          <w:p>
            <w:pPr>
              <w:keepNext w:val="0"/>
              <w:keepLines w:val="0"/>
              <w:pageBreakBefore w:val="0"/>
              <w:widowControl/>
              <w:numPr>
                <w:ilvl w:val="0"/>
                <w:numId w:val="3"/>
              </w:numPr>
              <w:suppressLineNumbers w:val="0"/>
              <w:kinsoku/>
              <w:wordWrap/>
              <w:overflowPunct/>
              <w:topLinePunct w:val="0"/>
              <w:autoSpaceDE/>
              <w:autoSpaceDN/>
              <w:bidi w:val="0"/>
              <w:snapToGrid w:val="0"/>
              <w:spacing w:line="24" w:lineRule="atLeast"/>
              <w:jc w:val="left"/>
              <w:textAlignment w:val="top"/>
              <w:rPr>
                <w:rStyle w:val="18"/>
                <w:rFonts w:hint="default"/>
                <w:lang w:val="en-US" w:eastAsia="zh-CN" w:bidi="ar"/>
              </w:rPr>
            </w:pPr>
            <w:r>
              <w:rPr>
                <w:rStyle w:val="18"/>
                <w:rFonts w:hint="eastAsia"/>
                <w:lang w:val="en-US" w:eastAsia="zh-CN" w:bidi="ar"/>
              </w:rPr>
              <w:t>权限管理模块1套</w:t>
            </w:r>
          </w:p>
          <w:p>
            <w:pPr>
              <w:keepNext w:val="0"/>
              <w:keepLines w:val="0"/>
              <w:pageBreakBefore w:val="0"/>
              <w:widowControl/>
              <w:numPr>
                <w:ilvl w:val="0"/>
                <w:numId w:val="3"/>
              </w:numPr>
              <w:suppressLineNumbers w:val="0"/>
              <w:kinsoku/>
              <w:wordWrap/>
              <w:overflowPunct/>
              <w:topLinePunct w:val="0"/>
              <w:autoSpaceDE/>
              <w:autoSpaceDN/>
              <w:bidi w:val="0"/>
              <w:snapToGrid w:val="0"/>
              <w:spacing w:line="24" w:lineRule="atLeast"/>
              <w:jc w:val="left"/>
              <w:textAlignment w:val="top"/>
              <w:rPr>
                <w:rStyle w:val="18"/>
                <w:rFonts w:hint="default"/>
                <w:lang w:val="en-US" w:eastAsia="zh-CN" w:bidi="ar"/>
              </w:rPr>
            </w:pPr>
            <w:r>
              <w:rPr>
                <w:rStyle w:val="18"/>
                <w:rFonts w:hint="eastAsia"/>
                <w:lang w:val="en-US" w:eastAsia="zh-CN" w:bidi="ar"/>
              </w:rPr>
              <w:t>时间策略管理模块1套</w:t>
            </w:r>
          </w:p>
          <w:p>
            <w:pPr>
              <w:keepNext w:val="0"/>
              <w:keepLines w:val="0"/>
              <w:pageBreakBefore w:val="0"/>
              <w:widowControl/>
              <w:numPr>
                <w:ilvl w:val="0"/>
                <w:numId w:val="3"/>
              </w:numPr>
              <w:suppressLineNumbers w:val="0"/>
              <w:kinsoku/>
              <w:wordWrap/>
              <w:overflowPunct/>
              <w:topLinePunct w:val="0"/>
              <w:autoSpaceDE/>
              <w:autoSpaceDN/>
              <w:bidi w:val="0"/>
              <w:snapToGrid w:val="0"/>
              <w:spacing w:line="24" w:lineRule="atLeast"/>
              <w:jc w:val="left"/>
              <w:textAlignment w:val="top"/>
              <w:rPr>
                <w:rStyle w:val="18"/>
                <w:rFonts w:hint="default"/>
                <w:lang w:val="en-US" w:eastAsia="zh-CN" w:bidi="ar"/>
              </w:rPr>
            </w:pPr>
            <w:r>
              <w:rPr>
                <w:rStyle w:val="18"/>
                <w:rFonts w:hint="eastAsia"/>
                <w:lang w:val="en-US" w:eastAsia="zh-CN" w:bidi="ar"/>
              </w:rPr>
              <w:t>通行记录查看模块1套</w:t>
            </w:r>
          </w:p>
        </w:tc>
        <w:tc>
          <w:tcPr>
            <w:tcW w:w="737"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1项</w:t>
            </w:r>
          </w:p>
        </w:tc>
        <w:tc>
          <w:tcPr>
            <w:tcW w:w="842" w:type="pct"/>
            <w:tcBorders>
              <w:tl2br w:val="nil"/>
              <w:tr2bl w:val="nil"/>
            </w:tcBorders>
            <w:shd w:val="clear" w:color="auto" w:fill="FFFFFF"/>
            <w:vAlign w:val="top"/>
          </w:tcPr>
          <w:p>
            <w:pPr>
              <w:pageBreakBefore w:val="0"/>
              <w:kinsoku/>
              <w:wordWrap/>
              <w:overflowPunct/>
              <w:topLinePunct w:val="0"/>
              <w:autoSpaceDE/>
              <w:autoSpaceDN/>
              <w:bidi w:val="0"/>
              <w:snapToGrid w:val="0"/>
              <w:spacing w:line="24" w:lineRule="atLeast"/>
              <w:jc w:val="left"/>
              <w:rPr>
                <w:rFonts w:hint="eastAsia" w:ascii="宋体" w:hAnsi="宋体" w:eastAsia="宋体" w:cs="宋体"/>
                <w:i w:val="0"/>
                <w:iCs w:val="0"/>
                <w:color w:val="000000"/>
                <w:sz w:val="28"/>
                <w:szCs w:val="2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8" w:hRule="atLeast"/>
        </w:trPr>
        <w:tc>
          <w:tcPr>
            <w:tcW w:w="613" w:type="pct"/>
            <w:tcBorders>
              <w:tl2br w:val="nil"/>
              <w:tr2bl w:val="nil"/>
            </w:tcBorders>
            <w:shd w:val="clear" w:color="auto" w:fill="FFFFFF"/>
            <w:vAlign w:val="top"/>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center"/>
              <w:textAlignment w:val="top"/>
              <w:rPr>
                <w:rFonts w:hint="default" w:ascii="宋体" w:hAnsi="宋体" w:eastAsia="宋体" w:cs="宋体"/>
                <w:i w:val="0"/>
                <w:iCs w:val="0"/>
                <w:color w:val="000000"/>
                <w:kern w:val="0"/>
                <w:sz w:val="28"/>
                <w:szCs w:val="28"/>
                <w:u w:val="none"/>
                <w:lang w:val="en-US" w:eastAsia="zh-CN" w:bidi="ar"/>
              </w:rPr>
            </w:pPr>
          </w:p>
        </w:tc>
        <w:tc>
          <w:tcPr>
            <w:tcW w:w="2807" w:type="pct"/>
            <w:gridSpan w:val="2"/>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前端人员信息采集套件</w:t>
            </w:r>
          </w:p>
        </w:tc>
        <w:tc>
          <w:tcPr>
            <w:tcW w:w="737"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1套</w:t>
            </w:r>
          </w:p>
        </w:tc>
        <w:tc>
          <w:tcPr>
            <w:tcW w:w="842" w:type="pct"/>
            <w:tcBorders>
              <w:tl2br w:val="nil"/>
              <w:tr2bl w:val="nil"/>
            </w:tcBorders>
            <w:shd w:val="clear" w:color="auto" w:fill="FFFFFF"/>
            <w:vAlign w:val="top"/>
          </w:tcPr>
          <w:p>
            <w:pPr>
              <w:pageBreakBefore w:val="0"/>
              <w:kinsoku/>
              <w:wordWrap/>
              <w:overflowPunct/>
              <w:topLinePunct w:val="0"/>
              <w:autoSpaceDE/>
              <w:autoSpaceDN/>
              <w:bidi w:val="0"/>
              <w:snapToGrid w:val="0"/>
              <w:spacing w:line="24" w:lineRule="atLeast"/>
              <w:jc w:val="left"/>
              <w:rPr>
                <w:rFonts w:hint="eastAsia" w:ascii="宋体" w:hAnsi="宋体" w:eastAsia="宋体" w:cs="宋体"/>
                <w:i w:val="0"/>
                <w:iCs w:val="0"/>
                <w:color w:val="000000"/>
                <w:sz w:val="28"/>
                <w:szCs w:val="2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613" w:type="pct"/>
            <w:tcBorders>
              <w:tl2br w:val="nil"/>
              <w:tr2bl w:val="nil"/>
            </w:tcBorders>
            <w:shd w:val="clear" w:color="auto" w:fill="FFFFFF"/>
            <w:vAlign w:val="top"/>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center"/>
              <w:textAlignment w:val="top"/>
              <w:rPr>
                <w:rFonts w:hint="default" w:ascii="宋体" w:hAnsi="宋体" w:eastAsia="宋体" w:cs="宋体"/>
                <w:i w:val="0"/>
                <w:iCs w:val="0"/>
                <w:color w:val="000000"/>
                <w:kern w:val="0"/>
                <w:sz w:val="28"/>
                <w:szCs w:val="28"/>
                <w:u w:val="none"/>
                <w:lang w:val="en-US" w:eastAsia="zh-CN" w:bidi="ar"/>
              </w:rPr>
            </w:pPr>
          </w:p>
        </w:tc>
        <w:tc>
          <w:tcPr>
            <w:tcW w:w="2807" w:type="pct"/>
            <w:gridSpan w:val="2"/>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数据处理及交换中间件</w:t>
            </w:r>
          </w:p>
        </w:tc>
        <w:tc>
          <w:tcPr>
            <w:tcW w:w="737"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1套</w:t>
            </w:r>
          </w:p>
        </w:tc>
        <w:tc>
          <w:tcPr>
            <w:tcW w:w="842" w:type="pct"/>
            <w:tcBorders>
              <w:tl2br w:val="nil"/>
              <w:tr2bl w:val="nil"/>
            </w:tcBorders>
            <w:shd w:val="clear" w:color="auto" w:fill="FFFFFF"/>
            <w:vAlign w:val="top"/>
          </w:tcPr>
          <w:p>
            <w:pPr>
              <w:pageBreakBefore w:val="0"/>
              <w:kinsoku/>
              <w:wordWrap/>
              <w:overflowPunct/>
              <w:topLinePunct w:val="0"/>
              <w:autoSpaceDE/>
              <w:autoSpaceDN/>
              <w:bidi w:val="0"/>
              <w:snapToGrid w:val="0"/>
              <w:spacing w:line="24" w:lineRule="atLeast"/>
              <w:jc w:val="left"/>
              <w:rPr>
                <w:rFonts w:hint="eastAsia" w:ascii="宋体" w:hAnsi="宋体" w:eastAsia="宋体" w:cs="宋体"/>
                <w:i w:val="0"/>
                <w:iCs w:val="0"/>
                <w:color w:val="000000"/>
                <w:kern w:val="2"/>
                <w:sz w:val="28"/>
                <w:szCs w:val="2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613" w:type="pct"/>
            <w:tcBorders>
              <w:tl2br w:val="nil"/>
              <w:tr2bl w:val="nil"/>
            </w:tcBorders>
            <w:shd w:val="clear" w:color="auto" w:fill="FFFFFF"/>
            <w:vAlign w:val="top"/>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center"/>
              <w:textAlignment w:val="top"/>
              <w:rPr>
                <w:rFonts w:hint="default" w:ascii="宋体" w:hAnsi="宋体" w:eastAsia="宋体" w:cs="宋体"/>
                <w:i w:val="0"/>
                <w:iCs w:val="0"/>
                <w:color w:val="000000"/>
                <w:sz w:val="28"/>
                <w:szCs w:val="28"/>
                <w:u w:val="none"/>
                <w:lang w:val="en-US" w:eastAsia="zh-CN"/>
              </w:rPr>
            </w:pPr>
          </w:p>
        </w:tc>
        <w:tc>
          <w:tcPr>
            <w:tcW w:w="2807" w:type="pct"/>
            <w:gridSpan w:val="2"/>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人脸识别智能引擎软件</w:t>
            </w:r>
          </w:p>
        </w:tc>
        <w:tc>
          <w:tcPr>
            <w:tcW w:w="737"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1套</w:t>
            </w:r>
          </w:p>
        </w:tc>
        <w:tc>
          <w:tcPr>
            <w:tcW w:w="842" w:type="pct"/>
            <w:tcBorders>
              <w:tl2br w:val="nil"/>
              <w:tr2bl w:val="nil"/>
            </w:tcBorders>
            <w:shd w:val="clear" w:color="auto" w:fill="FFFFFF"/>
            <w:vAlign w:val="top"/>
          </w:tcPr>
          <w:p>
            <w:pPr>
              <w:pageBreakBefore w:val="0"/>
              <w:kinsoku/>
              <w:wordWrap/>
              <w:overflowPunct/>
              <w:topLinePunct w:val="0"/>
              <w:autoSpaceDE/>
              <w:autoSpaceDN/>
              <w:bidi w:val="0"/>
              <w:snapToGrid w:val="0"/>
              <w:spacing w:line="24" w:lineRule="atLeast"/>
              <w:jc w:val="left"/>
              <w:rPr>
                <w:rFonts w:hint="eastAsia" w:ascii="宋体" w:hAnsi="宋体" w:eastAsia="宋体" w:cs="宋体"/>
                <w:i w:val="0"/>
                <w:iCs w:val="0"/>
                <w:color w:val="000000"/>
                <w:sz w:val="28"/>
                <w:szCs w:val="2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06" w:hRule="atLeast"/>
        </w:trPr>
        <w:tc>
          <w:tcPr>
            <w:tcW w:w="613" w:type="pct"/>
            <w:tcBorders>
              <w:tl2br w:val="nil"/>
              <w:tr2bl w:val="nil"/>
            </w:tcBorders>
            <w:shd w:val="clear" w:color="auto" w:fill="FFFFFF"/>
            <w:vAlign w:val="top"/>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center"/>
              <w:textAlignment w:val="top"/>
              <w:rPr>
                <w:rFonts w:hint="eastAsia" w:ascii="宋体" w:hAnsi="宋体" w:eastAsia="宋体" w:cs="宋体"/>
                <w:i w:val="0"/>
                <w:iCs w:val="0"/>
                <w:color w:val="000000"/>
                <w:sz w:val="28"/>
                <w:szCs w:val="28"/>
                <w:u w:val="none"/>
                <w:lang w:val="en-US" w:eastAsia="zh-CN"/>
              </w:rPr>
            </w:pPr>
          </w:p>
        </w:tc>
        <w:tc>
          <w:tcPr>
            <w:tcW w:w="2807" w:type="pct"/>
            <w:gridSpan w:val="2"/>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接口定制开发</w:t>
            </w:r>
          </w:p>
        </w:tc>
        <w:tc>
          <w:tcPr>
            <w:tcW w:w="737"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1项</w:t>
            </w:r>
          </w:p>
        </w:tc>
        <w:tc>
          <w:tcPr>
            <w:tcW w:w="842" w:type="pct"/>
            <w:tcBorders>
              <w:tl2br w:val="nil"/>
              <w:tr2bl w:val="nil"/>
            </w:tcBorders>
            <w:shd w:val="clear" w:color="auto" w:fill="FFFFFF"/>
            <w:vAlign w:val="top"/>
          </w:tcPr>
          <w:p>
            <w:pPr>
              <w:pageBreakBefore w:val="0"/>
              <w:kinsoku/>
              <w:wordWrap/>
              <w:overflowPunct/>
              <w:topLinePunct w:val="0"/>
              <w:autoSpaceDE/>
              <w:autoSpaceDN/>
              <w:bidi w:val="0"/>
              <w:snapToGrid w:val="0"/>
              <w:spacing w:line="24" w:lineRule="atLeast"/>
              <w:jc w:val="left"/>
              <w:rPr>
                <w:rFonts w:hint="eastAsia" w:ascii="宋体" w:hAnsi="宋体" w:eastAsia="宋体" w:cs="宋体"/>
                <w:i w:val="0"/>
                <w:iCs w:val="0"/>
                <w:color w:val="000000"/>
                <w:sz w:val="28"/>
                <w:szCs w:val="2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0" w:hRule="atLeast"/>
        </w:trPr>
        <w:tc>
          <w:tcPr>
            <w:tcW w:w="613" w:type="pct"/>
            <w:tcBorders>
              <w:tl2br w:val="nil"/>
              <w:tr2bl w:val="nil"/>
            </w:tcBorders>
            <w:shd w:val="clear" w:color="auto" w:fill="FFFFFF"/>
            <w:vAlign w:val="top"/>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center"/>
              <w:textAlignment w:val="top"/>
              <w:rPr>
                <w:rFonts w:hint="default" w:ascii="宋体" w:hAnsi="宋体" w:eastAsia="宋体" w:cs="宋体"/>
                <w:i w:val="0"/>
                <w:iCs w:val="0"/>
                <w:color w:val="000000"/>
                <w:sz w:val="28"/>
                <w:szCs w:val="28"/>
                <w:u w:val="none"/>
                <w:lang w:val="en-US" w:eastAsia="zh-CN"/>
              </w:rPr>
            </w:pPr>
          </w:p>
        </w:tc>
        <w:tc>
          <w:tcPr>
            <w:tcW w:w="2807" w:type="pct"/>
            <w:gridSpan w:val="2"/>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rPr>
              <w:t>智能道闸系统硬件专用服务器</w:t>
            </w:r>
          </w:p>
        </w:tc>
        <w:tc>
          <w:tcPr>
            <w:tcW w:w="737"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1台</w:t>
            </w:r>
          </w:p>
        </w:tc>
        <w:tc>
          <w:tcPr>
            <w:tcW w:w="842" w:type="pct"/>
            <w:tcBorders>
              <w:tl2br w:val="nil"/>
              <w:tr2bl w:val="nil"/>
            </w:tcBorders>
            <w:shd w:val="clear" w:color="auto" w:fill="FFFFFF"/>
            <w:vAlign w:val="top"/>
          </w:tcPr>
          <w:p>
            <w:pPr>
              <w:pageBreakBefore w:val="0"/>
              <w:kinsoku/>
              <w:wordWrap/>
              <w:overflowPunct/>
              <w:topLinePunct w:val="0"/>
              <w:autoSpaceDE/>
              <w:autoSpaceDN/>
              <w:bidi w:val="0"/>
              <w:snapToGrid w:val="0"/>
              <w:spacing w:line="24" w:lineRule="atLeast"/>
              <w:jc w:val="left"/>
              <w:rPr>
                <w:rFonts w:hint="eastAsia" w:ascii="宋体" w:hAnsi="宋体" w:eastAsia="宋体" w:cs="宋体"/>
                <w:i w:val="0"/>
                <w:iCs w:val="0"/>
                <w:color w:val="000000"/>
                <w:sz w:val="28"/>
                <w:szCs w:val="2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0" w:hRule="atLeast"/>
        </w:trPr>
        <w:tc>
          <w:tcPr>
            <w:tcW w:w="613" w:type="pct"/>
            <w:tcBorders>
              <w:tl2br w:val="nil"/>
              <w:tr2bl w:val="nil"/>
            </w:tcBorders>
            <w:shd w:val="clear" w:color="auto" w:fill="FFFFFF"/>
            <w:vAlign w:val="top"/>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center"/>
              <w:textAlignment w:val="top"/>
              <w:rPr>
                <w:rFonts w:hint="default" w:ascii="宋体" w:hAnsi="宋体" w:eastAsia="宋体" w:cs="宋体"/>
                <w:i w:val="0"/>
                <w:iCs w:val="0"/>
                <w:color w:val="000000"/>
                <w:sz w:val="28"/>
                <w:szCs w:val="28"/>
                <w:u w:val="none"/>
                <w:lang w:val="en-US" w:eastAsia="zh-CN"/>
              </w:rPr>
            </w:pPr>
          </w:p>
        </w:tc>
        <w:tc>
          <w:tcPr>
            <w:tcW w:w="2807" w:type="pct"/>
            <w:gridSpan w:val="2"/>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配套服务及材料</w:t>
            </w:r>
          </w:p>
        </w:tc>
        <w:tc>
          <w:tcPr>
            <w:tcW w:w="737"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1项</w:t>
            </w:r>
          </w:p>
        </w:tc>
        <w:tc>
          <w:tcPr>
            <w:tcW w:w="842" w:type="pct"/>
            <w:tcBorders>
              <w:tl2br w:val="nil"/>
              <w:tr2bl w:val="nil"/>
            </w:tcBorders>
            <w:shd w:val="clear" w:color="auto" w:fill="FFFFFF"/>
            <w:vAlign w:val="top"/>
          </w:tcPr>
          <w:p>
            <w:pPr>
              <w:pageBreakBefore w:val="0"/>
              <w:kinsoku/>
              <w:wordWrap/>
              <w:overflowPunct/>
              <w:topLinePunct w:val="0"/>
              <w:autoSpaceDE/>
              <w:autoSpaceDN/>
              <w:bidi w:val="0"/>
              <w:snapToGrid w:val="0"/>
              <w:spacing w:line="24" w:lineRule="atLeast"/>
              <w:jc w:val="left"/>
              <w:rPr>
                <w:rFonts w:hint="eastAsia" w:ascii="宋体" w:hAnsi="宋体" w:eastAsia="宋体" w:cs="宋体"/>
                <w:i w:val="0"/>
                <w:iCs w:val="0"/>
                <w:color w:val="000000"/>
                <w:sz w:val="28"/>
                <w:szCs w:val="28"/>
                <w:u w:val="none"/>
              </w:rPr>
            </w:pPr>
          </w:p>
        </w:tc>
      </w:tr>
    </w:tbl>
    <w:p>
      <w:pPr>
        <w:pageBreakBefore w:val="0"/>
        <w:kinsoku/>
        <w:wordWrap/>
        <w:overflowPunct/>
        <w:topLinePunct w:val="0"/>
        <w:autoSpaceDE/>
        <w:autoSpaceDN/>
        <w:bidi w:val="0"/>
        <w:snapToGrid w:val="0"/>
        <w:spacing w:line="24" w:lineRule="atLeast"/>
        <w:rPr>
          <w:rFonts w:hint="eastAsia" w:eastAsiaTheme="minorEastAsia"/>
          <w:lang w:val="en-US" w:eastAsia="zh-CN"/>
        </w:rPr>
      </w:pPr>
    </w:p>
    <w:p>
      <w:pPr>
        <w:pStyle w:val="3"/>
        <w:pageBreakBefore w:val="0"/>
        <w:kinsoku/>
        <w:wordWrap/>
        <w:overflowPunct/>
        <w:topLinePunct w:val="0"/>
        <w:autoSpaceDE/>
        <w:autoSpaceDN/>
        <w:bidi w:val="0"/>
        <w:snapToGrid w:val="0"/>
        <w:spacing w:line="24" w:lineRule="atLeast"/>
        <w:rPr>
          <w:rFonts w:hint="default"/>
          <w:lang w:val="en-US" w:eastAsia="zh-CN"/>
        </w:rPr>
      </w:pPr>
      <w:r>
        <w:rPr>
          <w:rFonts w:hint="eastAsia"/>
          <w:lang w:val="en-US" w:eastAsia="zh-CN"/>
        </w:rPr>
        <w:t>技术要求</w:t>
      </w:r>
    </w:p>
    <w:p>
      <w:pPr>
        <w:pStyle w:val="4"/>
        <w:pageBreakBefore w:val="0"/>
        <w:kinsoku/>
        <w:wordWrap/>
        <w:overflowPunct/>
        <w:topLinePunct w:val="0"/>
        <w:autoSpaceDE/>
        <w:autoSpaceDN/>
        <w:bidi w:val="0"/>
        <w:snapToGrid w:val="0"/>
        <w:spacing w:line="24" w:lineRule="atLeast"/>
        <w:rPr>
          <w:rFonts w:hint="default"/>
          <w:lang w:val="en-US" w:eastAsia="zh-CN"/>
        </w:rPr>
      </w:pPr>
      <w:r>
        <w:rPr>
          <w:rFonts w:hint="eastAsia"/>
          <w:lang w:val="en-US" w:eastAsia="zh-CN"/>
        </w:rPr>
        <w:t>总体要求</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 w:lineRule="atLeast"/>
        <w:ind w:firstLine="420" w:firstLineChars="0"/>
        <w:textAlignment w:val="auto"/>
        <w:rPr>
          <w:rFonts w:hint="eastAsia"/>
          <w:sz w:val="28"/>
          <w:szCs w:val="28"/>
          <w:lang w:val="en-US" w:eastAsia="zh-CN"/>
        </w:rPr>
      </w:pPr>
      <w:r>
        <w:rPr>
          <w:rFonts w:hint="eastAsia"/>
          <w:sz w:val="28"/>
          <w:szCs w:val="28"/>
          <w:lang w:val="en-US" w:eastAsia="zh-CN"/>
        </w:rPr>
        <w:t>采用人脸识别和大数据技术，对进入住院楼的人员的身份进行识别，对于内部员工、住院病人、陪护人员进行分别管控，实现对不同类型进出的区别精细化管理，满足防疫以及安全防护要求。</w:t>
      </w:r>
    </w:p>
    <w:p>
      <w:pPr>
        <w:pStyle w:val="12"/>
        <w:keepNext w:val="0"/>
        <w:keepLines w:val="0"/>
        <w:pageBreakBefore w:val="0"/>
        <w:widowControl w:val="0"/>
        <w:numPr>
          <w:ilvl w:val="0"/>
          <w:numId w:val="4"/>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建立医务工作人员、住院病人、陪护人员住院楼进出管控体系，并针对医护工作人员信息、住院人员、陪护人员进行进出规则定义，基于角色、身份、排班等信息，实现这几类人员住院楼进出准入精细化控制。</w:t>
      </w:r>
    </w:p>
    <w:p>
      <w:pPr>
        <w:pStyle w:val="12"/>
        <w:keepNext w:val="0"/>
        <w:keepLines w:val="0"/>
        <w:pageBreakBefore w:val="0"/>
        <w:widowControl w:val="0"/>
        <w:numPr>
          <w:ilvl w:val="0"/>
          <w:numId w:val="4"/>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与医院HIS系统、省级电子陪护系统深度融合对接，并无缝结合医务流程，实现病人、陪护人员、医务工作人员等获得授权人员一站式无障碍通行，形成人员有效管理闭环。</w:t>
      </w:r>
    </w:p>
    <w:p>
      <w:pPr>
        <w:pStyle w:val="12"/>
        <w:keepNext w:val="0"/>
        <w:keepLines w:val="0"/>
        <w:pageBreakBefore w:val="0"/>
        <w:widowControl w:val="0"/>
        <w:numPr>
          <w:ilvl w:val="0"/>
          <w:numId w:val="4"/>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在住院楼一楼电梯入口出布置人脸识别测温通道闸机，对工作人员、住院病人、陪护人员、非住院楼相关人员实现人脸身份识别通行管控，严格控制人员进出，避免非授权人员进出，实现授权人员无感通行。</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 xml:space="preserve">技术参数指标要求 </w:t>
      </w:r>
    </w:p>
    <w:p>
      <w:pPr>
        <w:pStyle w:val="5"/>
        <w:pageBreakBefore w:val="0"/>
        <w:kinsoku/>
        <w:wordWrap/>
        <w:overflowPunct/>
        <w:topLinePunct w:val="0"/>
        <w:autoSpaceDE/>
        <w:autoSpaceDN/>
        <w:bidi w:val="0"/>
        <w:snapToGrid w:val="0"/>
        <w:spacing w:line="24" w:lineRule="atLeast"/>
        <w:rPr>
          <w:rFonts w:hint="default"/>
          <w:lang w:val="en-US" w:eastAsia="zh-CN"/>
        </w:rPr>
      </w:pPr>
      <w:r>
        <w:rPr>
          <w:rFonts w:hint="eastAsia"/>
          <w:lang w:val="en-US" w:eastAsia="zh-CN"/>
        </w:rPr>
        <w:t>住院楼人脸识别测温终端</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default"/>
          <w:sz w:val="28"/>
          <w:szCs w:val="28"/>
          <w:lang w:val="en-US" w:eastAsia="zh-CN"/>
        </w:rPr>
      </w:pPr>
      <w:r>
        <w:rPr>
          <w:rFonts w:hint="eastAsia"/>
          <w:sz w:val="28"/>
          <w:szCs w:val="28"/>
          <w:lang w:val="en-US" w:eastAsia="zh-CN"/>
        </w:rPr>
        <w:t>▲屏幕尺寸不小于7寸高清显示屏，分辨率不低于1080*600；运存不低于4G；存储不低于8G。具备</w:t>
      </w:r>
      <w:r>
        <w:rPr>
          <w:rFonts w:hint="default"/>
          <w:sz w:val="28"/>
          <w:szCs w:val="28"/>
          <w:lang w:val="en-US" w:eastAsia="zh-CN"/>
        </w:rPr>
        <w:t>RJ45、RS232、韦根、继电器输出、门磁、报警、开关、复位</w:t>
      </w:r>
      <w:r>
        <w:rPr>
          <w:rFonts w:hint="eastAsia"/>
          <w:sz w:val="28"/>
          <w:szCs w:val="28"/>
          <w:lang w:val="en-US" w:eastAsia="zh-CN"/>
        </w:rPr>
        <w:t>等端口；</w:t>
      </w:r>
      <w:r>
        <w:rPr>
          <w:rFonts w:hint="eastAsia" w:ascii="宋体" w:hAnsi="宋体" w:eastAsia="宋体" w:cs="Times New Roman"/>
          <w:color w:val="000000"/>
          <w:kern w:val="0"/>
          <w:szCs w:val="21"/>
        </w:rPr>
        <w:t>具备健康码阅读及解码硬件模块；</w:t>
      </w:r>
      <w:r>
        <w:rPr>
          <w:rFonts w:hint="eastAsia"/>
          <w:sz w:val="28"/>
          <w:szCs w:val="28"/>
          <w:lang w:val="en-US" w:eastAsia="zh-CN"/>
        </w:rPr>
        <w:t>具备居民身份证阅读机具；内嵌远距离测温传感装置；</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▲采用Linux操作系统；</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▲设备支持通过人脸识别方式进行身份识别；支持通过刷身份证并比对人脸方式进行身份识别；</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设备支持通过人脸以及身份证人证比对方式进行通行权限检测；</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ascii="宋体" w:hAnsi="宋体" w:eastAsia="宋体" w:cs="Times New Roman"/>
          <w:color w:val="000000"/>
          <w:kern w:val="0"/>
          <w:szCs w:val="21"/>
        </w:rPr>
        <w:t>支持通过身份证查询个人四川省天府健康码状态</w:t>
      </w:r>
      <w:r>
        <w:rPr>
          <w:rFonts w:hint="eastAsia" w:ascii="宋体" w:hAnsi="宋体" w:eastAsia="宋体" w:cs="Times New Roman"/>
          <w:color w:val="000000"/>
          <w:kern w:val="0"/>
          <w:szCs w:val="21"/>
          <w:lang w:eastAsia="zh-CN"/>
        </w:rPr>
        <w:t>。</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ascii="宋体" w:hAnsi="宋体" w:eastAsia="宋体" w:cs="Times New Roman"/>
          <w:color w:val="000000"/>
          <w:kern w:val="0"/>
          <w:szCs w:val="21"/>
        </w:rPr>
        <w:t>具备对白名单人员采用人脸识别查询健康码状态（绿码、黄码、红码）功能</w:t>
      </w:r>
      <w:r>
        <w:rPr>
          <w:rFonts w:hint="eastAsia" w:ascii="宋体" w:hAnsi="宋体" w:eastAsia="宋体" w:cs="Times New Roman"/>
          <w:color w:val="000000"/>
          <w:kern w:val="0"/>
          <w:szCs w:val="21"/>
          <w:lang w:eastAsia="zh-CN"/>
        </w:rPr>
        <w:t>。</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居民身份证阅读机具：支持读取身份证内文字信息、人像信息；本地解码；符合公安部《GA 450-2013台式居民身份证阅读器通用技术要求》。</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人脸测温：具有远距离测温功能，测温方式：额温测量；测温范围：20℃~42℃；测温精度：0.1℃；测温误差：不高于±0.3℃；支持人体温度检测、温度显示功能，体温异常预警提示。测温距离：不小于70cm。支持算法级有效测温区域划分，可有效区分非额头温度与额头温度，规避头发、耳饰、身体其他区位等非有效测温区域出现高温误报。</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人脸测温主机雨雾天气下的识别：为了确保下雨天气或湿度较大气温降低出现凝露状况下设备可正常进行人脸识别、测温及口罩佩戴检测，整机设备厂商提供具备有水环境下对人脸图像畸变进行矫正并进行有效人脸识别的相关技术的自主知识产权证明文件复印件，并加盖设备厂商公章；</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▲为确保远距离测温准确度，防止测温误差，供应商应具备远距离测温误差准确矫正的技术能力，整机设备厂家提供具有该技术的自主知识产权证明文件复印件并加盖厂家公章。</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人脸识别算法：为了提高人脸识别口罩检测及人脸测温通行效率，并有效防止假性脸绕过人脸测温检测，系统支持自然步态行走状态下的人脸防假识别，并采用3D三维人脸识别技术；整机设备厂商应提供具备自然步态的3D（三维）人脸防假识别相关算法系统的自主知识产权证明文件复印件，并加盖设备厂商公章。</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为了确保设备可持续运行，设备出现故障能够进行智能分析，对于部分故障可进行自行修复，设备应具有故障自检诊断分析及修复功能，整机设备厂家具备该功能或技术的自主知识产权证明文件复印件加盖设备厂商公章。</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▲人脸识别测温终端可根据闸机的回馈信号，有效检测多人通行及尾随现象，可对闸机进行防尾随开关闸控制；整机设备厂商具备该功能或技术的自主知识产权证明文件复印件，加盖设备厂商公章。</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具有人机交互可视化界面，具备身份识别及体温监测过程提示，通行提示等功能。</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default"/>
          <w:sz w:val="28"/>
          <w:szCs w:val="28"/>
          <w:lang w:val="en-US" w:eastAsia="zh-CN"/>
        </w:rPr>
      </w:pPr>
      <w:r>
        <w:rPr>
          <w:rFonts w:hint="eastAsia"/>
          <w:sz w:val="28"/>
          <w:szCs w:val="28"/>
          <w:lang w:val="en-US" w:eastAsia="zh-CN"/>
        </w:rPr>
        <w:t>具有口罩检测功能，可识别通行人员是否佩戴口罩；人员未佩戴口罩时，系统进行语音提醒，系统支持对未佩戴口罩的人员进行限制通行。</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default"/>
          <w:sz w:val="28"/>
          <w:szCs w:val="28"/>
          <w:lang w:val="en-US" w:eastAsia="zh-CN"/>
        </w:rPr>
      </w:pPr>
      <w:r>
        <w:rPr>
          <w:rFonts w:hint="eastAsia"/>
          <w:sz w:val="28"/>
          <w:szCs w:val="28"/>
          <w:lang w:val="en-US" w:eastAsia="zh-CN"/>
        </w:rPr>
        <w:t>自动补光：设备支持对环境光线进行自动监测并自动调整补光灯亮度以确保人脸识别功能的正常使用。</w:t>
      </w:r>
    </w:p>
    <w:p>
      <w:pPr>
        <w:pStyle w:val="12"/>
        <w:keepNext w:val="0"/>
        <w:keepLines w:val="0"/>
        <w:pageBreakBefore w:val="0"/>
        <w:widowControl w:val="0"/>
        <w:numPr>
          <w:ilvl w:val="0"/>
          <w:numId w:val="5"/>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通行效率：设备通行效率不低于30人/分钟。</w:t>
      </w:r>
    </w:p>
    <w:p>
      <w:pPr>
        <w:pStyle w:val="5"/>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人行通道闸机</w:t>
      </w:r>
    </w:p>
    <w:p>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闸机：闸机形态采用摆闸形态；箱体采用304不锈钢材质，闸摆采用亚克力材质；机箱厚度上盖满足或优于国标1.5mm厚度，侧面满足国标1.2mm厚度。机箱尺寸：1600 mm * 200mm * 1000mm（尺寸准许有±10%差别），通道宽度1000mm~1200mm，可定制，以实际场地为准。</w:t>
      </w:r>
    </w:p>
    <w:p>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▲采用伺服电机，具备防撞电路保护，机芯功率： ≤100W；无障碍运行时间：不少于1000万次。为了确保行人尤其是孕产妇及儿童的通行安全，闸机具备电机及闸摆独立控制能力，可精准对闸门运行位置进行控制，整机设备厂家提供具备该电机及闸摆独立控制技术能力的自主知识产权证明文件复印件，并加盖设备厂商公章</w:t>
      </w:r>
    </w:p>
    <w:p>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不少于6路红外光防尾随电输入；输出控制信号：全为继电器信号输出；无效信号红灯输出；报警喇叭信号输出；闸门开、关时间：不长于0.35秒；故障自动复位时间：不长于10S；机芯工作电压： DC24V。</w:t>
      </w:r>
    </w:p>
    <w:p>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24" w:lineRule="atLeast"/>
        <w:ind w:left="425" w:leftChars="0" w:hanging="425" w:firstLineChars="0"/>
        <w:textAlignment w:val="auto"/>
        <w:rPr>
          <w:rFonts w:hint="default"/>
          <w:sz w:val="28"/>
          <w:szCs w:val="28"/>
          <w:lang w:val="en-US" w:eastAsia="zh-CN"/>
        </w:rPr>
      </w:pPr>
      <w:r>
        <w:rPr>
          <w:rFonts w:hint="eastAsia"/>
          <w:sz w:val="28"/>
          <w:szCs w:val="28"/>
          <w:lang w:val="en-US" w:eastAsia="zh-CN"/>
        </w:rPr>
        <w:t>▲适应温度：-30度～70度；相对湿度： 相对湿度≤95%。采用嵌入式温度湿度检测及调节技术，具备恒温防冻调节功能，不凝露，整机设备厂商提供具备该嵌入式温度湿度检测及调节技术的自主知识产权证明文件复印件，并加盖设备厂商公章。</w:t>
      </w:r>
    </w:p>
    <w:p>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24" w:lineRule="atLeast"/>
        <w:ind w:left="425" w:leftChars="0" w:hanging="425" w:firstLineChars="0"/>
        <w:textAlignment w:val="auto"/>
        <w:rPr>
          <w:sz w:val="28"/>
          <w:szCs w:val="28"/>
        </w:rPr>
      </w:pPr>
      <w:r>
        <w:rPr>
          <w:rFonts w:hint="eastAsia"/>
          <w:sz w:val="28"/>
          <w:szCs w:val="28"/>
          <w:lang w:val="en-US" w:eastAsia="zh-CN"/>
        </w:rPr>
        <w:t>应急设置：具备设备常开常闭设置功能，满足应急情况下的开关闸功能。</w:t>
      </w:r>
      <w:r>
        <w:rPr>
          <w:rFonts w:hint="eastAsia"/>
          <w:sz w:val="28"/>
          <w:szCs w:val="28"/>
          <w:lang w:val="en-US" w:eastAsia="zh-CN"/>
        </w:rPr>
        <w:tab/>
      </w:r>
    </w:p>
    <w:p>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防夹功能：为了确保通行者（尤其是孕产妇、儿童及老年人）的安全通行，人行通道摆闸应具备防夹功能，能够对潜在存在的卡夹现象进行感知并响应，整机设备厂商提供具备该防夹感知及响应控制功能的自主知识产权证明文件复印件，并加盖设备厂商公章。</w:t>
      </w:r>
    </w:p>
    <w:p>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为了避免闸机出现故障造成严重就诊患者拥堵情况，闸机可通过重启进行故障自检诊断分析并对可修复故障进行自动修复，使闸机快速恢复正常运行状态，整机设备厂商提供具备该故障自检诊断分析及故障修复功能的自主知识产权证明文件复印件，并加盖设备厂商公章。</w:t>
      </w:r>
    </w:p>
    <w:p>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每台单机芯速通闸机具有一套电机动力系统、传动装置及门翼；</w:t>
      </w:r>
    </w:p>
    <w:p>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lang w:val="en-US" w:eastAsia="zh-CN"/>
        </w:rPr>
      </w:pPr>
      <w:r>
        <w:rPr>
          <w:rFonts w:hint="eastAsia"/>
          <w:sz w:val="28"/>
          <w:szCs w:val="28"/>
          <w:lang w:val="en-US" w:eastAsia="zh-CN"/>
        </w:rPr>
        <w:t>每台双机芯速通闸机具有一套电机动力系统、传动装置及门翼。</w:t>
      </w:r>
    </w:p>
    <w:p>
      <w:pPr>
        <w:pStyle w:val="5"/>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人脸识别测温防疫信息健康码核验及数据上传一体化平台接入</w:t>
      </w:r>
    </w:p>
    <w:p>
      <w:pPr>
        <w:pStyle w:val="12"/>
        <w:keepNext w:val="0"/>
        <w:keepLines w:val="0"/>
        <w:pageBreakBefore w:val="0"/>
        <w:widowControl w:val="0"/>
        <w:numPr>
          <w:ilvl w:val="0"/>
          <w:numId w:val="7"/>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可实现健康码信息实时数据核验；</w:t>
      </w:r>
    </w:p>
    <w:p>
      <w:pPr>
        <w:pStyle w:val="12"/>
        <w:keepNext w:val="0"/>
        <w:keepLines w:val="0"/>
        <w:pageBreakBefore w:val="0"/>
        <w:widowControl w:val="0"/>
        <w:numPr>
          <w:ilvl w:val="0"/>
          <w:numId w:val="7"/>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可实现健康码核验数据、测温数据、口罩佩戴情况数据实时上报；</w:t>
      </w:r>
    </w:p>
    <w:p>
      <w:pPr>
        <w:pStyle w:val="12"/>
        <w:keepNext w:val="0"/>
        <w:keepLines w:val="0"/>
        <w:pageBreakBefore w:val="0"/>
        <w:widowControl w:val="0"/>
        <w:numPr>
          <w:ilvl w:val="0"/>
          <w:numId w:val="7"/>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须确保所提供设备可无缝接入医院现有人脸识别测温防疫信息健康码核验及数据上传一体化服务平台，实现健康码实时核验、数据上报、数据查询、数据分析、统一集中管控等应用功能。</w:t>
      </w:r>
    </w:p>
    <w:p>
      <w:pPr>
        <w:pStyle w:val="12"/>
        <w:keepNext w:val="0"/>
        <w:keepLines w:val="0"/>
        <w:pageBreakBefore w:val="0"/>
        <w:widowControl w:val="0"/>
        <w:numPr>
          <w:ilvl w:val="0"/>
          <w:numId w:val="7"/>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所提供设备进行内嵌数据处理及交换功能中间件，进行前端健康码核验设备、人脸识别测温防疫信息健康码核验及数据上传一体化服务组件与省健康码大数据中心进行数据交互、数据调度、数据安全防护、数据合规处理，为确保数据安全及功能的动态扩展，设备厂家提供具备数据处理及交换相关中间件技术的自主知识产权证明文件复印件，并加盖厂家公章。 </w:t>
      </w:r>
    </w:p>
    <w:p>
      <w:pPr>
        <w:pStyle w:val="5"/>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天府健康码数据查询及核验接口</w:t>
      </w:r>
    </w:p>
    <w:p>
      <w:pPr>
        <w:pStyle w:val="12"/>
        <w:keepNext w:val="0"/>
        <w:keepLines w:val="0"/>
        <w:pageBreakBefore w:val="0"/>
        <w:widowControl w:val="0"/>
        <w:numPr>
          <w:ilvl w:val="0"/>
          <w:numId w:val="8"/>
        </w:numPr>
        <w:kinsoku/>
        <w:wordWrap/>
        <w:overflowPunct/>
        <w:topLinePunct w:val="0"/>
        <w:autoSpaceDE/>
        <w:autoSpaceDN/>
        <w:bidi w:val="0"/>
        <w:adjustRightInd w:val="0"/>
        <w:snapToGrid w:val="0"/>
        <w:spacing w:line="24" w:lineRule="atLeast"/>
        <w:ind w:left="425" w:leftChars="0" w:hanging="425" w:firstLineChars="0"/>
        <w:textAlignment w:val="auto"/>
        <w:rPr>
          <w:rFonts w:hint="eastAsia"/>
          <w:sz w:val="28"/>
          <w:szCs w:val="28"/>
          <w:lang w:val="en-US" w:eastAsia="zh-CN"/>
        </w:rPr>
      </w:pPr>
      <w:r>
        <w:rPr>
          <w:rFonts w:hint="eastAsia"/>
          <w:sz w:val="28"/>
          <w:szCs w:val="28"/>
          <w:lang w:val="en-US" w:eastAsia="zh-CN"/>
        </w:rPr>
        <w:t>可实现通过刷天府健康码实现天府健康码码色（绿码、黄码、红码）的核验，通过刷身份证实现对天府健康码状态进行查询。</w:t>
      </w:r>
    </w:p>
    <w:p>
      <w:pPr>
        <w:pStyle w:val="12"/>
        <w:keepNext w:val="0"/>
        <w:keepLines w:val="0"/>
        <w:pageBreakBefore w:val="0"/>
        <w:widowControl w:val="0"/>
        <w:numPr>
          <w:numId w:val="0"/>
        </w:numPr>
        <w:kinsoku/>
        <w:wordWrap/>
        <w:overflowPunct/>
        <w:topLinePunct w:val="0"/>
        <w:autoSpaceDE/>
        <w:autoSpaceDN/>
        <w:bidi w:val="0"/>
        <w:adjustRightInd w:val="0"/>
        <w:snapToGrid w:val="0"/>
        <w:spacing w:line="24" w:lineRule="atLeast"/>
        <w:ind w:leftChars="0"/>
        <w:textAlignment w:val="auto"/>
        <w:rPr>
          <w:rFonts w:hint="eastAsia"/>
          <w:lang w:val="en-US" w:eastAsia="zh-CN"/>
        </w:rPr>
      </w:pPr>
    </w:p>
    <w:p>
      <w:pPr>
        <w:pStyle w:val="5"/>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住院楼人员通行闸机及控制管理系统</w:t>
      </w:r>
    </w:p>
    <w:p>
      <w:pPr>
        <w:keepNext w:val="0"/>
        <w:keepLines w:val="0"/>
        <w:pageBreakBefore w:val="0"/>
        <w:widowControl w:val="0"/>
        <w:numPr>
          <w:ilvl w:val="0"/>
          <w:numId w:val="9"/>
        </w:numPr>
        <w:kinsoku/>
        <w:wordWrap/>
        <w:overflowPunct/>
        <w:topLinePunct w:val="0"/>
        <w:autoSpaceDE/>
        <w:autoSpaceDN/>
        <w:bidi w:val="0"/>
        <w:adjustRightInd/>
        <w:snapToGrid w:val="0"/>
        <w:spacing w:line="24" w:lineRule="atLeast"/>
        <w:ind w:left="425" w:leftChars="0" w:hanging="425" w:firstLineChars="0"/>
        <w:textAlignment w:val="auto"/>
        <w:rPr>
          <w:rStyle w:val="18"/>
          <w:rFonts w:hint="eastAsia"/>
          <w:lang w:val="en-US" w:eastAsia="zh-CN" w:bidi="ar"/>
        </w:rPr>
      </w:pPr>
      <w:r>
        <w:rPr>
          <w:rStyle w:val="18"/>
          <w:rFonts w:hint="eastAsia"/>
          <w:b/>
          <w:bCs/>
          <w:lang w:val="en-US" w:eastAsia="zh-CN" w:bidi="ar"/>
        </w:rPr>
        <w:t>通行闸机及控制管理系统基础框架系统</w:t>
      </w:r>
      <w:r>
        <w:rPr>
          <w:rStyle w:val="18"/>
          <w:rFonts w:hint="eastAsia"/>
          <w:b w:val="0"/>
          <w:bCs w:val="0"/>
          <w:lang w:val="en-US" w:eastAsia="zh-CN" w:bidi="ar"/>
        </w:rPr>
        <w:t>：采用web方式进行系统管理,实现通行管理动态监控平台、医护人员通行管理子系统、住院病人通行管理子系统、陪护人员通行管理子系统、权限管理模块、时间策</w:t>
      </w:r>
      <w:r>
        <w:rPr>
          <w:rStyle w:val="18"/>
          <w:rFonts w:hint="eastAsia"/>
          <w:lang w:val="en-US" w:eastAsia="zh-CN" w:bidi="ar"/>
        </w:rPr>
        <w:t>略管理、通行记录查看、设备接入功能的植入。</w:t>
      </w:r>
    </w:p>
    <w:p>
      <w:pPr>
        <w:keepNext w:val="0"/>
        <w:keepLines w:val="0"/>
        <w:pageBreakBefore w:val="0"/>
        <w:widowControl w:val="0"/>
        <w:numPr>
          <w:ilvl w:val="0"/>
          <w:numId w:val="9"/>
        </w:numPr>
        <w:kinsoku/>
        <w:wordWrap/>
        <w:overflowPunct/>
        <w:topLinePunct w:val="0"/>
        <w:autoSpaceDE/>
        <w:autoSpaceDN/>
        <w:bidi w:val="0"/>
        <w:adjustRightInd/>
        <w:snapToGrid w:val="0"/>
        <w:spacing w:line="24" w:lineRule="atLeast"/>
        <w:ind w:left="425" w:leftChars="0" w:hanging="425" w:firstLineChars="0"/>
        <w:textAlignment w:val="auto"/>
        <w:rPr>
          <w:rStyle w:val="18"/>
          <w:rFonts w:hint="eastAsia"/>
          <w:lang w:val="en-US" w:eastAsia="zh-CN" w:bidi="ar"/>
        </w:rPr>
      </w:pPr>
      <w:r>
        <w:rPr>
          <w:rStyle w:val="18"/>
          <w:rFonts w:hint="eastAsia"/>
          <w:b/>
          <w:bCs/>
          <w:lang w:val="en-US" w:eastAsia="zh-CN" w:bidi="ar"/>
        </w:rPr>
        <w:t>通行管理动态监控平台：</w:t>
      </w:r>
      <w:r>
        <w:rPr>
          <w:rStyle w:val="18"/>
          <w:rFonts w:hint="eastAsia"/>
          <w:lang w:val="en-US" w:eastAsia="zh-CN" w:bidi="ar"/>
        </w:rPr>
        <w:t>对住院楼整体通行情况进行动态监控。实时动态查询通道通行人员情况，身份识别情况，体温检测情况，陪护人员留存情况等。</w:t>
      </w:r>
    </w:p>
    <w:p>
      <w:pPr>
        <w:keepNext w:val="0"/>
        <w:keepLines w:val="0"/>
        <w:pageBreakBefore w:val="0"/>
        <w:widowControl w:val="0"/>
        <w:numPr>
          <w:ilvl w:val="0"/>
          <w:numId w:val="9"/>
        </w:numPr>
        <w:kinsoku/>
        <w:wordWrap/>
        <w:overflowPunct/>
        <w:topLinePunct w:val="0"/>
        <w:autoSpaceDE/>
        <w:autoSpaceDN/>
        <w:bidi w:val="0"/>
        <w:adjustRightInd/>
        <w:snapToGrid w:val="0"/>
        <w:spacing w:line="24" w:lineRule="atLeast"/>
        <w:ind w:left="425" w:leftChars="0" w:hanging="425" w:firstLineChars="0"/>
        <w:textAlignment w:val="auto"/>
        <w:rPr>
          <w:rStyle w:val="18"/>
          <w:rFonts w:hint="default"/>
          <w:lang w:val="en-US" w:eastAsia="zh-CN" w:bidi="ar"/>
        </w:rPr>
      </w:pPr>
      <w:r>
        <w:rPr>
          <w:rStyle w:val="18"/>
          <w:rFonts w:hint="eastAsia"/>
          <w:b/>
          <w:bCs/>
          <w:lang w:val="en-US" w:eastAsia="zh-CN" w:bidi="ar"/>
        </w:rPr>
        <w:t>医护人员通行管理子系统:</w:t>
      </w:r>
      <w:r>
        <w:rPr>
          <w:rStyle w:val="18"/>
          <w:rFonts w:hint="eastAsia"/>
          <w:lang w:val="en-US" w:eastAsia="zh-CN" w:bidi="ar"/>
        </w:rPr>
        <w:t>对内部医护工作人员进行身份信息自动同步、更新，手动登记，人脸数据采集，员工卡配置，通行权限设定等。</w:t>
      </w:r>
    </w:p>
    <w:p>
      <w:pPr>
        <w:keepNext w:val="0"/>
        <w:keepLines w:val="0"/>
        <w:pageBreakBefore w:val="0"/>
        <w:widowControl w:val="0"/>
        <w:numPr>
          <w:ilvl w:val="0"/>
          <w:numId w:val="9"/>
        </w:numPr>
        <w:kinsoku/>
        <w:wordWrap/>
        <w:overflowPunct/>
        <w:topLinePunct w:val="0"/>
        <w:autoSpaceDE/>
        <w:autoSpaceDN/>
        <w:bidi w:val="0"/>
        <w:adjustRightInd/>
        <w:snapToGrid w:val="0"/>
        <w:spacing w:line="24" w:lineRule="atLeast"/>
        <w:ind w:left="425" w:leftChars="0" w:hanging="425" w:firstLineChars="0"/>
        <w:textAlignment w:val="auto"/>
        <w:rPr>
          <w:rStyle w:val="18"/>
          <w:rFonts w:hint="eastAsia"/>
          <w:lang w:val="en-US" w:eastAsia="zh-CN" w:bidi="ar"/>
        </w:rPr>
      </w:pPr>
      <w:r>
        <w:rPr>
          <w:rStyle w:val="18"/>
          <w:rFonts w:hint="eastAsia"/>
          <w:b/>
          <w:bCs/>
          <w:lang w:val="en-US" w:eastAsia="zh-CN" w:bidi="ar"/>
        </w:rPr>
        <w:t>住院病人通行管理子系统：</w:t>
      </w:r>
      <w:r>
        <w:rPr>
          <w:rStyle w:val="18"/>
          <w:rFonts w:hint="eastAsia"/>
          <w:lang w:val="en-US" w:eastAsia="zh-CN" w:bidi="ar"/>
        </w:rPr>
        <w:t>对住院病人进行HIS系统信息自动同步、更新,对住院病人身份信息进行手动完善、新增、修改、删除等操作，住院病人人脸数据采集，通行区域以及时间段权限设定等；住院病人出院后，该病人通行权限自动取消。</w:t>
      </w:r>
    </w:p>
    <w:p>
      <w:pPr>
        <w:keepNext w:val="0"/>
        <w:keepLines w:val="0"/>
        <w:pageBreakBefore w:val="0"/>
        <w:widowControl w:val="0"/>
        <w:numPr>
          <w:ilvl w:val="0"/>
          <w:numId w:val="9"/>
        </w:numPr>
        <w:kinsoku/>
        <w:wordWrap/>
        <w:overflowPunct/>
        <w:topLinePunct w:val="0"/>
        <w:autoSpaceDE/>
        <w:autoSpaceDN/>
        <w:bidi w:val="0"/>
        <w:adjustRightInd/>
        <w:snapToGrid w:val="0"/>
        <w:spacing w:line="24" w:lineRule="atLeast"/>
        <w:ind w:left="425" w:leftChars="0" w:hanging="425" w:firstLineChars="0"/>
        <w:textAlignment w:val="auto"/>
        <w:rPr>
          <w:rStyle w:val="18"/>
          <w:rFonts w:hint="eastAsia"/>
          <w:lang w:val="en-US" w:eastAsia="zh-CN" w:bidi="ar"/>
        </w:rPr>
      </w:pPr>
      <w:r>
        <w:rPr>
          <w:rStyle w:val="18"/>
          <w:rFonts w:hint="eastAsia"/>
          <w:b/>
          <w:bCs/>
          <w:lang w:val="en-US" w:eastAsia="zh-CN" w:bidi="ar"/>
        </w:rPr>
        <w:t>陪护人员通行管理子系统：</w:t>
      </w:r>
      <w:r>
        <w:rPr>
          <w:rStyle w:val="18"/>
          <w:rFonts w:hint="eastAsia"/>
          <w:lang w:val="en-US" w:eastAsia="zh-CN" w:bidi="ar"/>
        </w:rPr>
        <w:t>对陪护人员进行电子陪护系统信息自动同步、更新,对陪护人员身份信息进行手动完善、新增、修改、删除等操作，陪护人员人脸数据手动采集，通行区域以及时间段权限设定等；住院病人出院后，该陪护人员通行权限自动取消。</w:t>
      </w:r>
    </w:p>
    <w:p>
      <w:pPr>
        <w:keepNext w:val="0"/>
        <w:keepLines w:val="0"/>
        <w:pageBreakBefore w:val="0"/>
        <w:widowControl w:val="0"/>
        <w:numPr>
          <w:ilvl w:val="0"/>
          <w:numId w:val="9"/>
        </w:numPr>
        <w:kinsoku/>
        <w:wordWrap/>
        <w:overflowPunct/>
        <w:topLinePunct w:val="0"/>
        <w:autoSpaceDE/>
        <w:autoSpaceDN/>
        <w:bidi w:val="0"/>
        <w:adjustRightInd/>
        <w:snapToGrid w:val="0"/>
        <w:spacing w:line="24" w:lineRule="atLeast"/>
        <w:ind w:left="425" w:leftChars="0" w:hanging="425" w:firstLineChars="0"/>
        <w:textAlignment w:val="auto"/>
        <w:rPr>
          <w:rStyle w:val="18"/>
          <w:rFonts w:hint="default"/>
          <w:lang w:val="en-US" w:eastAsia="zh-CN" w:bidi="ar"/>
        </w:rPr>
      </w:pPr>
      <w:r>
        <w:rPr>
          <w:rStyle w:val="18"/>
          <w:rFonts w:hint="eastAsia"/>
          <w:b/>
          <w:bCs/>
          <w:lang w:val="en-US" w:eastAsia="zh-CN" w:bidi="ar"/>
        </w:rPr>
        <w:t>权限管理模块：</w:t>
      </w:r>
      <w:r>
        <w:rPr>
          <w:rStyle w:val="18"/>
          <w:rFonts w:hint="eastAsia"/>
          <w:lang w:val="en-US" w:eastAsia="zh-CN" w:bidi="ar"/>
        </w:rPr>
        <w:t>可对通道进行分组，对通道分配人员权限。</w:t>
      </w:r>
    </w:p>
    <w:p>
      <w:pPr>
        <w:keepNext w:val="0"/>
        <w:keepLines w:val="0"/>
        <w:pageBreakBefore w:val="0"/>
        <w:widowControl w:val="0"/>
        <w:numPr>
          <w:ilvl w:val="0"/>
          <w:numId w:val="9"/>
        </w:numPr>
        <w:kinsoku/>
        <w:wordWrap/>
        <w:overflowPunct/>
        <w:topLinePunct w:val="0"/>
        <w:autoSpaceDE/>
        <w:autoSpaceDN/>
        <w:bidi w:val="0"/>
        <w:adjustRightInd/>
        <w:snapToGrid w:val="0"/>
        <w:spacing w:line="24" w:lineRule="atLeast"/>
        <w:ind w:left="425" w:leftChars="0" w:hanging="425" w:firstLineChars="0"/>
        <w:textAlignment w:val="auto"/>
        <w:rPr>
          <w:rStyle w:val="18"/>
          <w:rFonts w:hint="default"/>
          <w:lang w:val="en-US" w:eastAsia="zh-CN" w:bidi="ar"/>
        </w:rPr>
      </w:pPr>
      <w:r>
        <w:rPr>
          <w:rStyle w:val="18"/>
          <w:rFonts w:hint="eastAsia"/>
          <w:b/>
          <w:bCs/>
          <w:lang w:val="en-US" w:eastAsia="zh-CN" w:bidi="ar"/>
        </w:rPr>
        <w:t>时间策略管理：</w:t>
      </w:r>
      <w:r>
        <w:rPr>
          <w:rStyle w:val="18"/>
          <w:rFonts w:hint="eastAsia"/>
          <w:lang w:val="en-US" w:eastAsia="zh-CN" w:bidi="ar"/>
        </w:rPr>
        <w:t>可自定义时间策略，对不同的时间策略赋予不同的通行权限。</w:t>
      </w:r>
    </w:p>
    <w:p>
      <w:pPr>
        <w:keepNext w:val="0"/>
        <w:keepLines w:val="0"/>
        <w:pageBreakBefore w:val="0"/>
        <w:widowControl w:val="0"/>
        <w:numPr>
          <w:ilvl w:val="0"/>
          <w:numId w:val="9"/>
        </w:numPr>
        <w:kinsoku/>
        <w:wordWrap/>
        <w:overflowPunct/>
        <w:topLinePunct w:val="0"/>
        <w:autoSpaceDE/>
        <w:autoSpaceDN/>
        <w:bidi w:val="0"/>
        <w:adjustRightInd/>
        <w:snapToGrid w:val="0"/>
        <w:spacing w:line="24" w:lineRule="atLeast"/>
        <w:ind w:left="425" w:leftChars="0" w:hanging="425" w:firstLineChars="0"/>
        <w:textAlignment w:val="auto"/>
        <w:rPr>
          <w:rFonts w:hint="eastAsia"/>
          <w:lang w:val="en-US" w:eastAsia="zh-CN"/>
        </w:rPr>
      </w:pPr>
      <w:r>
        <w:rPr>
          <w:rStyle w:val="18"/>
          <w:rFonts w:hint="eastAsia"/>
          <w:b/>
          <w:bCs/>
          <w:lang w:val="en-US" w:eastAsia="zh-CN" w:bidi="ar"/>
        </w:rPr>
        <w:t>通行记录查看：</w:t>
      </w:r>
      <w:r>
        <w:rPr>
          <w:rStyle w:val="18"/>
          <w:rFonts w:hint="eastAsia"/>
          <w:lang w:val="en-US" w:eastAsia="zh-CN" w:bidi="ar"/>
        </w:rPr>
        <w:t>可根据时间段、通道、所属单位、姓名、人员类别等进行人员通行记录查询，查询记录包括但不限于：时间、身份、体温、位置、现场留底照片等。</w:t>
      </w:r>
    </w:p>
    <w:p>
      <w:pPr>
        <w:pStyle w:val="5"/>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前端人员信息采集套件</w:t>
      </w:r>
    </w:p>
    <w:p>
      <w:pPr>
        <w:keepNext w:val="0"/>
        <w:keepLines w:val="0"/>
        <w:pageBreakBefore w:val="0"/>
        <w:widowControl w:val="0"/>
        <w:numPr>
          <w:ilvl w:val="0"/>
          <w:numId w:val="10"/>
        </w:numPr>
        <w:kinsoku/>
        <w:wordWrap/>
        <w:overflowPunct/>
        <w:topLinePunct w:val="0"/>
        <w:autoSpaceDE/>
        <w:autoSpaceDN/>
        <w:bidi w:val="0"/>
        <w:adjustRightInd/>
        <w:snapToGrid w:val="0"/>
        <w:spacing w:line="24" w:lineRule="atLeast"/>
        <w:ind w:left="425" w:leftChars="0" w:hanging="425" w:firstLineChars="0"/>
        <w:textAlignment w:val="auto"/>
        <w:rPr>
          <w:rStyle w:val="18"/>
          <w:rFonts w:hint="eastAsia"/>
          <w:lang w:val="en-US" w:eastAsia="zh-CN" w:bidi="ar"/>
        </w:rPr>
      </w:pPr>
      <w:r>
        <w:rPr>
          <w:rStyle w:val="18"/>
          <w:rFonts w:hint="eastAsia"/>
          <w:lang w:val="en-US" w:eastAsia="zh-CN" w:bidi="ar"/>
        </w:rPr>
        <w:t>实现对员工身份信息、住院病人、陪护人员信息进行采集、身份证真实性核验，系统可读取人员身份证信息，并发起身份证人证同一性比对，确保身份证持有者为其本人，并对该人员进行高清人脸数据采集。</w:t>
      </w:r>
    </w:p>
    <w:p>
      <w:pPr>
        <w:pStyle w:val="5"/>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数据处理及交换中间件</w:t>
      </w:r>
    </w:p>
    <w:p>
      <w:pPr>
        <w:pStyle w:val="12"/>
        <w:pageBreakBefore w:val="0"/>
        <w:numPr>
          <w:ilvl w:val="0"/>
          <w:numId w:val="11"/>
        </w:numPr>
        <w:kinsoku/>
        <w:wordWrap/>
        <w:overflowPunct/>
        <w:topLinePunct w:val="0"/>
        <w:autoSpaceDE/>
        <w:autoSpaceDN/>
        <w:bidi w:val="0"/>
        <w:snapToGrid w:val="0"/>
        <w:spacing w:line="24" w:lineRule="atLeast"/>
        <w:ind w:left="425" w:leftChars="0" w:hanging="425" w:firstLineChars="0"/>
        <w:rPr>
          <w:rFonts w:hint="eastAsia"/>
          <w:sz w:val="28"/>
          <w:szCs w:val="28"/>
          <w:lang w:val="en-US" w:eastAsia="zh-CN"/>
        </w:rPr>
      </w:pPr>
      <w:r>
        <w:rPr>
          <w:rFonts w:hint="eastAsia"/>
          <w:sz w:val="28"/>
          <w:szCs w:val="28"/>
          <w:lang w:val="en-US" w:eastAsia="zh-CN"/>
        </w:rPr>
        <w:t>进行前端住院楼人脸识别测温一体机、住院楼人员通行闸机及控制管理系统与HIS系统以及省电子陪护系统进行数据交互、数据调度、数据安全防护、数据合规处理等。</w:t>
      </w:r>
    </w:p>
    <w:p>
      <w:pPr>
        <w:pStyle w:val="12"/>
        <w:pageBreakBefore w:val="0"/>
        <w:numPr>
          <w:ilvl w:val="0"/>
          <w:numId w:val="11"/>
        </w:numPr>
        <w:kinsoku/>
        <w:wordWrap/>
        <w:overflowPunct/>
        <w:topLinePunct w:val="0"/>
        <w:autoSpaceDE/>
        <w:autoSpaceDN/>
        <w:bidi w:val="0"/>
        <w:snapToGrid w:val="0"/>
        <w:spacing w:line="24" w:lineRule="atLeast"/>
        <w:ind w:left="425" w:leftChars="0" w:hanging="425" w:firstLineChars="0"/>
        <w:rPr>
          <w:rFonts w:hint="eastAsia"/>
          <w:sz w:val="28"/>
          <w:szCs w:val="28"/>
          <w:lang w:val="en-US" w:eastAsia="zh-CN"/>
        </w:rPr>
      </w:pPr>
      <w:r>
        <w:rPr>
          <w:rFonts w:hint="eastAsia"/>
          <w:sz w:val="28"/>
          <w:szCs w:val="28"/>
          <w:lang w:val="en-US" w:eastAsia="zh-CN"/>
        </w:rPr>
        <w:t>▲为确保数据安全及功能的动态扩展，产品厂家提供具备数据处理及交换相关中间件技术的自主知识产权证明文件复印件，并加盖厂家公章。</w:t>
      </w:r>
    </w:p>
    <w:p>
      <w:pPr>
        <w:pStyle w:val="5"/>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人脸识别智能引擎软件</w:t>
      </w:r>
    </w:p>
    <w:p>
      <w:pPr>
        <w:pStyle w:val="12"/>
        <w:pageBreakBefore w:val="0"/>
        <w:numPr>
          <w:ilvl w:val="0"/>
          <w:numId w:val="12"/>
        </w:numPr>
        <w:kinsoku/>
        <w:wordWrap/>
        <w:overflowPunct/>
        <w:topLinePunct w:val="0"/>
        <w:autoSpaceDE/>
        <w:autoSpaceDN/>
        <w:bidi w:val="0"/>
        <w:snapToGrid w:val="0"/>
        <w:spacing w:line="24" w:lineRule="atLeast"/>
        <w:ind w:left="425" w:leftChars="0" w:hanging="425" w:firstLineChars="0"/>
        <w:rPr>
          <w:rFonts w:hint="eastAsia"/>
          <w:sz w:val="28"/>
          <w:szCs w:val="28"/>
          <w:lang w:val="en-US" w:eastAsia="zh-CN"/>
        </w:rPr>
      </w:pPr>
      <w:r>
        <w:rPr>
          <w:rFonts w:hint="eastAsia"/>
          <w:sz w:val="28"/>
          <w:szCs w:val="28"/>
          <w:lang w:val="en-US" w:eastAsia="zh-CN"/>
        </w:rPr>
        <w:t>提供对住院人员进行人脸识别、人脸建模、人脸识别质量判断、人脸品质优化等功能服务。</w:t>
      </w:r>
    </w:p>
    <w:p>
      <w:pPr>
        <w:pStyle w:val="12"/>
        <w:pageBreakBefore w:val="0"/>
        <w:numPr>
          <w:ilvl w:val="0"/>
          <w:numId w:val="12"/>
        </w:numPr>
        <w:kinsoku/>
        <w:wordWrap/>
        <w:overflowPunct/>
        <w:topLinePunct w:val="0"/>
        <w:autoSpaceDE/>
        <w:autoSpaceDN/>
        <w:bidi w:val="0"/>
        <w:snapToGrid w:val="0"/>
        <w:spacing w:line="24" w:lineRule="atLeast"/>
        <w:ind w:left="425" w:leftChars="0" w:hanging="425" w:firstLineChars="0"/>
        <w:rPr>
          <w:rFonts w:hint="default"/>
          <w:sz w:val="28"/>
          <w:szCs w:val="28"/>
          <w:lang w:val="en-US" w:eastAsia="zh-CN"/>
        </w:rPr>
      </w:pPr>
      <w:r>
        <w:rPr>
          <w:rFonts w:hint="eastAsia"/>
          <w:sz w:val="28"/>
          <w:szCs w:val="28"/>
          <w:lang w:val="en-US" w:eastAsia="zh-CN"/>
        </w:rPr>
        <w:t>▲为提高人脸识别精准度，有效降低误识，人脸身份识别须采用深度学习与智能识别技术。产品厂家提供具备该技术的自主知识产权证明文件复印件，并加盖厂家公章。</w:t>
      </w:r>
    </w:p>
    <w:p>
      <w:pPr>
        <w:pStyle w:val="12"/>
        <w:pageBreakBefore w:val="0"/>
        <w:numPr>
          <w:ilvl w:val="0"/>
          <w:numId w:val="12"/>
        </w:numPr>
        <w:kinsoku/>
        <w:wordWrap/>
        <w:overflowPunct/>
        <w:topLinePunct w:val="0"/>
        <w:autoSpaceDE/>
        <w:autoSpaceDN/>
        <w:bidi w:val="0"/>
        <w:snapToGrid w:val="0"/>
        <w:spacing w:line="24" w:lineRule="atLeast"/>
        <w:ind w:left="425" w:leftChars="0" w:hanging="425" w:firstLineChars="0"/>
        <w:rPr>
          <w:rFonts w:hint="default"/>
          <w:sz w:val="28"/>
          <w:szCs w:val="28"/>
          <w:lang w:val="en-US" w:eastAsia="zh-CN"/>
        </w:rPr>
      </w:pPr>
      <w:r>
        <w:rPr>
          <w:rFonts w:hint="eastAsia"/>
          <w:sz w:val="28"/>
          <w:szCs w:val="28"/>
          <w:lang w:val="en-US" w:eastAsia="zh-CN"/>
        </w:rPr>
        <w:t>▲人脸识别引擎作为身份识别的关键，为了确保引擎软件的安全性，确保人脸识别引擎功能持续不间断使用，引擎软件须为整机设备厂商自主知识产权技术，产品厂家提供具备该引擎软件自主知识产权技术证明文件复印件，并加盖公章。</w:t>
      </w:r>
    </w:p>
    <w:p>
      <w:pPr>
        <w:pStyle w:val="12"/>
        <w:pageBreakBefore w:val="0"/>
        <w:kinsoku/>
        <w:wordWrap/>
        <w:overflowPunct/>
        <w:topLinePunct w:val="0"/>
        <w:autoSpaceDE/>
        <w:autoSpaceDN/>
        <w:bidi w:val="0"/>
        <w:snapToGrid w:val="0"/>
        <w:spacing w:line="24" w:lineRule="atLeast"/>
        <w:rPr>
          <w:rFonts w:hint="eastAsia"/>
          <w:lang w:val="en-US" w:eastAsia="zh-CN"/>
        </w:rPr>
      </w:pPr>
    </w:p>
    <w:p>
      <w:pPr>
        <w:pStyle w:val="5"/>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接口定制开发</w:t>
      </w:r>
    </w:p>
    <w:p>
      <w:pPr>
        <w:pageBreakBefore w:val="0"/>
        <w:numPr>
          <w:ilvl w:val="0"/>
          <w:numId w:val="13"/>
        </w:numPr>
        <w:kinsoku/>
        <w:wordWrap/>
        <w:overflowPunct/>
        <w:topLinePunct w:val="0"/>
        <w:autoSpaceDE/>
        <w:autoSpaceDN/>
        <w:bidi w:val="0"/>
        <w:snapToGrid w:val="0"/>
        <w:spacing w:line="24" w:lineRule="atLeast"/>
        <w:ind w:left="425" w:leftChars="0" w:hanging="425" w:firstLineChars="0"/>
        <w:rPr>
          <w:rFonts w:hint="default"/>
          <w:sz w:val="28"/>
          <w:szCs w:val="28"/>
          <w:lang w:val="en-US" w:eastAsia="zh-CN"/>
        </w:rPr>
      </w:pPr>
      <w:r>
        <w:rPr>
          <w:rFonts w:hint="eastAsia"/>
          <w:lang w:val="en-US" w:eastAsia="zh-CN"/>
        </w:rPr>
        <w:t>▲</w:t>
      </w:r>
      <w:r>
        <w:rPr>
          <w:rFonts w:hint="eastAsia"/>
          <w:sz w:val="28"/>
          <w:szCs w:val="28"/>
          <w:lang w:val="en-US" w:eastAsia="zh-CN"/>
        </w:rPr>
        <w:t>通过与医院HIS系统、省电子陪护等系统的接口定制开发对接，实现住院楼通行管理系统与his系统、省电子陪护系统的数据查询及数据同步；与现有医院使用的“人脸识别测温防疫信息健康码核验及数据上传一体化平台”实现无缝对接，实现防疫信息健康码核验及通行数据互通互联。供应商须提供可实现上述接口对接的承诺函。</w:t>
      </w:r>
    </w:p>
    <w:p>
      <w:pPr>
        <w:pStyle w:val="5"/>
        <w:pageBreakBefore w:val="0"/>
        <w:kinsoku/>
        <w:wordWrap/>
        <w:overflowPunct/>
        <w:topLinePunct w:val="0"/>
        <w:autoSpaceDE/>
        <w:autoSpaceDN/>
        <w:bidi w:val="0"/>
        <w:snapToGrid w:val="0"/>
        <w:spacing w:line="24" w:lineRule="atLeast"/>
        <w:rPr>
          <w:rFonts w:hint="default"/>
          <w:lang w:val="en-US" w:eastAsia="zh-CN"/>
        </w:rPr>
      </w:pPr>
      <w:r>
        <w:rPr>
          <w:rFonts w:hint="eastAsia" w:ascii="宋体" w:hAnsi="宋体" w:eastAsia="宋体" w:cs="宋体"/>
          <w:i w:val="0"/>
          <w:iCs w:val="0"/>
          <w:color w:val="000000"/>
          <w:sz w:val="28"/>
          <w:szCs w:val="28"/>
          <w:u w:val="none"/>
        </w:rPr>
        <w:t>智能道闸系统硬件专用服务器</w:t>
      </w:r>
    </w:p>
    <w:p>
      <w:pPr>
        <w:pStyle w:val="12"/>
        <w:pageBreakBefore w:val="0"/>
        <w:kinsoku/>
        <w:wordWrap/>
        <w:overflowPunct/>
        <w:topLinePunct w:val="0"/>
        <w:autoSpaceDE/>
        <w:autoSpaceDN/>
        <w:bidi w:val="0"/>
        <w:snapToGrid w:val="0"/>
        <w:spacing w:line="24" w:lineRule="atLeast"/>
        <w:rPr>
          <w:rFonts w:hint="default"/>
          <w:lang w:val="en-US" w:eastAsia="zh-CN"/>
        </w:rPr>
      </w:pPr>
      <w:r>
        <w:rPr>
          <w:rFonts w:hint="eastAsia"/>
          <w:sz w:val="28"/>
          <w:szCs w:val="28"/>
          <w:lang w:val="en-US" w:eastAsia="zh-CN"/>
        </w:rPr>
        <w:t>整体性能不低于下列参数要求。</w:t>
      </w:r>
    </w:p>
    <w:p>
      <w:pPr>
        <w:pageBreakBefore w:val="0"/>
        <w:numPr>
          <w:ilvl w:val="0"/>
          <w:numId w:val="14"/>
        </w:numPr>
        <w:kinsoku/>
        <w:wordWrap/>
        <w:overflowPunct/>
        <w:topLinePunct w:val="0"/>
        <w:autoSpaceDE/>
        <w:autoSpaceDN/>
        <w:bidi w:val="0"/>
        <w:snapToGrid w:val="0"/>
        <w:spacing w:line="24" w:lineRule="atLeast"/>
        <w:ind w:left="425" w:leftChars="0" w:hanging="425" w:firstLineChars="0"/>
        <w:rPr>
          <w:rFonts w:hint="default"/>
          <w:sz w:val="28"/>
          <w:szCs w:val="28"/>
          <w:lang w:val="en-US" w:eastAsia="zh-CN"/>
        </w:rPr>
      </w:pPr>
      <w:r>
        <w:rPr>
          <w:rFonts w:hint="default"/>
          <w:sz w:val="28"/>
          <w:szCs w:val="28"/>
          <w:lang w:val="en-US" w:eastAsia="zh-CN"/>
        </w:rPr>
        <w:t>内置linux操作系统，产品结构</w:t>
      </w:r>
      <w:r>
        <w:rPr>
          <w:rFonts w:hint="default"/>
          <w:sz w:val="28"/>
          <w:szCs w:val="28"/>
          <w:lang w:val="en-US" w:eastAsia="zh-CN"/>
        </w:rPr>
        <w:tab/>
      </w:r>
      <w:r>
        <w:rPr>
          <w:rFonts w:hint="default"/>
          <w:sz w:val="28"/>
          <w:szCs w:val="28"/>
          <w:lang w:val="en-US" w:eastAsia="zh-CN"/>
        </w:rPr>
        <w:t>：1U</w:t>
      </w:r>
    </w:p>
    <w:p>
      <w:pPr>
        <w:pageBreakBefore w:val="0"/>
        <w:numPr>
          <w:ilvl w:val="0"/>
          <w:numId w:val="14"/>
        </w:numPr>
        <w:kinsoku/>
        <w:wordWrap/>
        <w:overflowPunct/>
        <w:topLinePunct w:val="0"/>
        <w:autoSpaceDE/>
        <w:autoSpaceDN/>
        <w:bidi w:val="0"/>
        <w:snapToGrid w:val="0"/>
        <w:spacing w:line="24" w:lineRule="atLeast"/>
        <w:ind w:left="425" w:leftChars="0" w:hanging="425" w:firstLineChars="0"/>
        <w:rPr>
          <w:rFonts w:hint="default"/>
          <w:sz w:val="28"/>
          <w:szCs w:val="28"/>
          <w:lang w:val="en-US" w:eastAsia="zh-CN"/>
        </w:rPr>
      </w:pPr>
      <w:r>
        <w:rPr>
          <w:rFonts w:hint="default"/>
          <w:sz w:val="28"/>
          <w:szCs w:val="28"/>
          <w:lang w:val="en-US" w:eastAsia="zh-CN"/>
        </w:rPr>
        <w:t>处理器：性能不弱于至强四核E-2234</w:t>
      </w:r>
    </w:p>
    <w:p>
      <w:pPr>
        <w:pageBreakBefore w:val="0"/>
        <w:numPr>
          <w:ilvl w:val="0"/>
          <w:numId w:val="14"/>
        </w:numPr>
        <w:kinsoku/>
        <w:wordWrap/>
        <w:overflowPunct/>
        <w:topLinePunct w:val="0"/>
        <w:autoSpaceDE/>
        <w:autoSpaceDN/>
        <w:bidi w:val="0"/>
        <w:snapToGrid w:val="0"/>
        <w:spacing w:line="24" w:lineRule="atLeast"/>
        <w:ind w:left="425" w:leftChars="0" w:hanging="425" w:firstLineChars="0"/>
        <w:rPr>
          <w:rFonts w:hint="default"/>
          <w:sz w:val="28"/>
          <w:szCs w:val="28"/>
          <w:lang w:val="en-US" w:eastAsia="zh-CN"/>
        </w:rPr>
      </w:pPr>
      <w:r>
        <w:rPr>
          <w:rFonts w:hint="default"/>
          <w:sz w:val="28"/>
          <w:szCs w:val="28"/>
          <w:lang w:val="en-US" w:eastAsia="zh-CN"/>
        </w:rPr>
        <w:t>CPU核心：不低于四核，四线程</w:t>
      </w:r>
    </w:p>
    <w:p>
      <w:pPr>
        <w:pageBreakBefore w:val="0"/>
        <w:numPr>
          <w:ilvl w:val="0"/>
          <w:numId w:val="14"/>
        </w:numPr>
        <w:kinsoku/>
        <w:wordWrap/>
        <w:overflowPunct/>
        <w:topLinePunct w:val="0"/>
        <w:autoSpaceDE/>
        <w:autoSpaceDN/>
        <w:bidi w:val="0"/>
        <w:snapToGrid w:val="0"/>
        <w:spacing w:line="24" w:lineRule="atLeast"/>
        <w:ind w:left="425" w:leftChars="0" w:hanging="425" w:firstLineChars="0"/>
        <w:rPr>
          <w:rFonts w:hint="default"/>
          <w:sz w:val="28"/>
          <w:szCs w:val="28"/>
          <w:lang w:val="en-US" w:eastAsia="zh-CN"/>
        </w:rPr>
      </w:pPr>
      <w:r>
        <w:rPr>
          <w:rFonts w:hint="default"/>
          <w:sz w:val="28"/>
          <w:szCs w:val="28"/>
          <w:lang w:val="en-US" w:eastAsia="zh-CN"/>
        </w:rPr>
        <w:t>内存:不低于8G</w:t>
      </w:r>
    </w:p>
    <w:p>
      <w:pPr>
        <w:pageBreakBefore w:val="0"/>
        <w:numPr>
          <w:ilvl w:val="0"/>
          <w:numId w:val="14"/>
        </w:numPr>
        <w:kinsoku/>
        <w:wordWrap/>
        <w:overflowPunct/>
        <w:topLinePunct w:val="0"/>
        <w:autoSpaceDE/>
        <w:autoSpaceDN/>
        <w:bidi w:val="0"/>
        <w:snapToGrid w:val="0"/>
        <w:spacing w:line="24" w:lineRule="atLeast"/>
        <w:ind w:left="425" w:leftChars="0" w:hanging="425" w:firstLineChars="0"/>
        <w:rPr>
          <w:rFonts w:hint="default"/>
          <w:sz w:val="28"/>
          <w:szCs w:val="28"/>
          <w:lang w:val="en-US" w:eastAsia="zh-CN"/>
        </w:rPr>
      </w:pPr>
      <w:r>
        <w:rPr>
          <w:rFonts w:hint="default"/>
          <w:sz w:val="28"/>
          <w:szCs w:val="28"/>
          <w:lang w:val="en-US" w:eastAsia="zh-CN"/>
        </w:rPr>
        <w:t>标配硬盘</w:t>
      </w:r>
      <w:r>
        <w:rPr>
          <w:rFonts w:hint="eastAsia"/>
          <w:sz w:val="28"/>
          <w:szCs w:val="28"/>
          <w:lang w:val="en-US" w:eastAsia="zh-CN"/>
        </w:rPr>
        <w:t>容量</w:t>
      </w:r>
      <w:r>
        <w:rPr>
          <w:rFonts w:hint="default"/>
          <w:sz w:val="28"/>
          <w:szCs w:val="28"/>
          <w:lang w:val="en-US" w:eastAsia="zh-CN"/>
        </w:rPr>
        <w:t>：</w:t>
      </w:r>
      <w:r>
        <w:rPr>
          <w:rFonts w:hint="eastAsia"/>
          <w:sz w:val="28"/>
          <w:szCs w:val="28"/>
          <w:lang w:val="en-US" w:eastAsia="zh-CN"/>
        </w:rPr>
        <w:t>不低于3T</w:t>
      </w:r>
    </w:p>
    <w:p>
      <w:pPr>
        <w:pageBreakBefore w:val="0"/>
        <w:numPr>
          <w:ilvl w:val="0"/>
          <w:numId w:val="14"/>
        </w:numPr>
        <w:kinsoku/>
        <w:wordWrap/>
        <w:overflowPunct/>
        <w:topLinePunct w:val="0"/>
        <w:autoSpaceDE/>
        <w:autoSpaceDN/>
        <w:bidi w:val="0"/>
        <w:snapToGrid w:val="0"/>
        <w:spacing w:line="24" w:lineRule="atLeast"/>
        <w:ind w:left="425" w:leftChars="0" w:hanging="425" w:firstLineChars="0"/>
        <w:rPr>
          <w:rFonts w:hint="default"/>
          <w:sz w:val="28"/>
          <w:szCs w:val="28"/>
          <w:lang w:val="en-US" w:eastAsia="zh-CN"/>
        </w:rPr>
      </w:pPr>
      <w:r>
        <w:rPr>
          <w:rFonts w:hint="default"/>
          <w:sz w:val="28"/>
          <w:szCs w:val="28"/>
          <w:lang w:val="en-US" w:eastAsia="zh-CN"/>
        </w:rPr>
        <w:t>光驱：DVD</w:t>
      </w:r>
    </w:p>
    <w:p>
      <w:pPr>
        <w:pStyle w:val="5"/>
        <w:pageBreakBefore w:val="0"/>
        <w:kinsoku/>
        <w:wordWrap/>
        <w:overflowPunct/>
        <w:topLinePunct w:val="0"/>
        <w:autoSpaceDE/>
        <w:autoSpaceDN/>
        <w:bidi w:val="0"/>
        <w:snapToGrid w:val="0"/>
        <w:spacing w:line="24" w:lineRule="atLeast"/>
        <w:rPr>
          <w:rFonts w:hint="default"/>
          <w:lang w:val="en-US" w:eastAsia="zh-CN"/>
        </w:rPr>
      </w:pPr>
      <w:r>
        <w:rPr>
          <w:rFonts w:hint="eastAsia"/>
          <w:lang w:val="en-US" w:eastAsia="zh-CN"/>
        </w:rPr>
        <w:t>配套服务及材料</w:t>
      </w:r>
    </w:p>
    <w:p>
      <w:pPr>
        <w:pStyle w:val="6"/>
        <w:pageBreakBefore w:val="0"/>
        <w:kinsoku/>
        <w:wordWrap/>
        <w:overflowPunct/>
        <w:topLinePunct w:val="0"/>
        <w:autoSpaceDE/>
        <w:autoSpaceDN/>
        <w:bidi w:val="0"/>
        <w:snapToGrid w:val="0"/>
        <w:spacing w:line="24" w:lineRule="atLeast"/>
        <w:rPr>
          <w:rFonts w:hint="default"/>
          <w:lang w:val="en-US" w:eastAsia="zh-CN"/>
        </w:rPr>
      </w:pPr>
      <w:r>
        <w:rPr>
          <w:rFonts w:hint="default"/>
          <w:lang w:val="en-US" w:eastAsia="zh-CN"/>
        </w:rPr>
        <w:t>通道类设备安装</w:t>
      </w:r>
    </w:p>
    <w:p>
      <w:pPr>
        <w:pageBreakBefore w:val="0"/>
        <w:numPr>
          <w:ilvl w:val="0"/>
          <w:numId w:val="15"/>
        </w:numPr>
        <w:kinsoku/>
        <w:wordWrap/>
        <w:overflowPunct/>
        <w:topLinePunct w:val="0"/>
        <w:autoSpaceDE/>
        <w:autoSpaceDN/>
        <w:bidi w:val="0"/>
        <w:snapToGrid w:val="0"/>
        <w:spacing w:line="24" w:lineRule="atLeast"/>
        <w:ind w:left="425" w:leftChars="0" w:hanging="425" w:firstLineChars="0"/>
        <w:rPr>
          <w:rFonts w:hint="default"/>
          <w:sz w:val="28"/>
          <w:szCs w:val="28"/>
          <w:lang w:val="en-US" w:eastAsia="zh-CN"/>
        </w:rPr>
      </w:pPr>
      <w:r>
        <w:rPr>
          <w:rFonts w:hint="eastAsia"/>
          <w:sz w:val="28"/>
          <w:szCs w:val="28"/>
          <w:lang w:val="en-US" w:eastAsia="zh-CN"/>
        </w:rPr>
        <w:t>供应商应对提供的设备进行安装、调试，确保顺利上线交付。</w:t>
      </w:r>
    </w:p>
    <w:p>
      <w:pPr>
        <w:pStyle w:val="6"/>
        <w:pageBreakBefore w:val="0"/>
        <w:kinsoku/>
        <w:wordWrap/>
        <w:overflowPunct/>
        <w:topLinePunct w:val="0"/>
        <w:autoSpaceDE/>
        <w:autoSpaceDN/>
        <w:bidi w:val="0"/>
        <w:snapToGrid w:val="0"/>
        <w:spacing w:line="24" w:lineRule="atLeast"/>
        <w:rPr>
          <w:rFonts w:hint="default"/>
          <w:lang w:val="en-US" w:eastAsia="zh-CN"/>
        </w:rPr>
      </w:pPr>
      <w:r>
        <w:rPr>
          <w:rFonts w:hint="default"/>
          <w:lang w:val="en-US" w:eastAsia="zh-CN"/>
        </w:rPr>
        <w:t>围栏等</w:t>
      </w:r>
    </w:p>
    <w:p>
      <w:pPr>
        <w:pageBreakBefore w:val="0"/>
        <w:numPr>
          <w:ilvl w:val="0"/>
          <w:numId w:val="16"/>
        </w:numPr>
        <w:kinsoku/>
        <w:wordWrap/>
        <w:overflowPunct/>
        <w:topLinePunct w:val="0"/>
        <w:autoSpaceDE/>
        <w:autoSpaceDN/>
        <w:bidi w:val="0"/>
        <w:snapToGrid w:val="0"/>
        <w:spacing w:line="24" w:lineRule="atLeast"/>
        <w:ind w:left="425" w:leftChars="0" w:hanging="425" w:firstLineChars="0"/>
        <w:rPr>
          <w:rFonts w:hint="default"/>
          <w:sz w:val="28"/>
          <w:szCs w:val="28"/>
          <w:lang w:val="en-US" w:eastAsia="zh-CN"/>
        </w:rPr>
      </w:pPr>
      <w:r>
        <w:rPr>
          <w:rFonts w:hint="eastAsia"/>
          <w:sz w:val="28"/>
          <w:szCs w:val="28"/>
          <w:lang w:val="en-US" w:eastAsia="zh-CN"/>
        </w:rPr>
        <w:t>对通道闸周边进行围栏设置，防止行人不经过身份识别、测温等必要安检流程直接进入住院楼，需根据实地场地情况进行定制。</w:t>
      </w:r>
    </w:p>
    <w:p>
      <w:pPr>
        <w:pStyle w:val="6"/>
        <w:pageBreakBefore w:val="0"/>
        <w:kinsoku/>
        <w:wordWrap/>
        <w:overflowPunct/>
        <w:topLinePunct w:val="0"/>
        <w:autoSpaceDE/>
        <w:autoSpaceDN/>
        <w:bidi w:val="0"/>
        <w:snapToGrid w:val="0"/>
        <w:spacing w:line="24" w:lineRule="atLeast"/>
        <w:rPr>
          <w:rFonts w:hint="default"/>
          <w:lang w:val="en-US" w:eastAsia="zh-CN"/>
        </w:rPr>
      </w:pPr>
      <w:r>
        <w:rPr>
          <w:rFonts w:hint="default"/>
          <w:lang w:val="en-US" w:eastAsia="zh-CN"/>
        </w:rPr>
        <w:t>综合布线</w:t>
      </w:r>
    </w:p>
    <w:p>
      <w:pPr>
        <w:pageBreakBefore w:val="0"/>
        <w:numPr>
          <w:ilvl w:val="0"/>
          <w:numId w:val="17"/>
        </w:numPr>
        <w:kinsoku/>
        <w:wordWrap/>
        <w:overflowPunct/>
        <w:topLinePunct w:val="0"/>
        <w:autoSpaceDE/>
        <w:autoSpaceDN/>
        <w:bidi w:val="0"/>
        <w:snapToGrid w:val="0"/>
        <w:spacing w:line="24" w:lineRule="atLeast"/>
        <w:ind w:left="425" w:leftChars="0" w:hanging="425" w:firstLineChars="0"/>
        <w:rPr>
          <w:rFonts w:hint="eastAsia"/>
          <w:sz w:val="28"/>
          <w:szCs w:val="28"/>
          <w:lang w:val="en-US" w:eastAsia="zh-CN"/>
        </w:rPr>
      </w:pPr>
      <w:r>
        <w:rPr>
          <w:rFonts w:hint="eastAsia"/>
          <w:sz w:val="28"/>
          <w:szCs w:val="28"/>
          <w:lang w:val="en-US" w:eastAsia="zh-CN"/>
        </w:rPr>
        <w:t>提供项目建设所必备的网络及电源条件的配套物资、线路铺设、施工等，根据实际场地情况进行定制。</w:t>
      </w:r>
    </w:p>
    <w:p>
      <w:pPr>
        <w:pStyle w:val="6"/>
        <w:pageBreakBefore w:val="0"/>
        <w:kinsoku/>
        <w:wordWrap/>
        <w:overflowPunct/>
        <w:topLinePunct w:val="0"/>
        <w:autoSpaceDE/>
        <w:autoSpaceDN/>
        <w:bidi w:val="0"/>
        <w:snapToGrid w:val="0"/>
        <w:spacing w:line="24" w:lineRule="atLeast"/>
        <w:rPr>
          <w:rFonts w:hint="eastAsia"/>
          <w:lang w:val="en-US" w:eastAsia="zh-CN"/>
        </w:rPr>
      </w:pPr>
      <w:bookmarkStart w:id="0" w:name="_Toc9638"/>
      <w:r>
        <w:rPr>
          <w:rFonts w:hint="eastAsia"/>
          <w:lang w:val="en-US" w:eastAsia="zh-CN"/>
        </w:rPr>
        <w:t>服务及保障</w:t>
      </w:r>
      <w:bookmarkEnd w:id="0"/>
    </w:p>
    <w:p>
      <w:pPr>
        <w:pageBreakBefore w:val="0"/>
        <w:numPr>
          <w:ilvl w:val="0"/>
          <w:numId w:val="18"/>
        </w:numPr>
        <w:kinsoku/>
        <w:wordWrap/>
        <w:overflowPunct/>
        <w:topLinePunct w:val="0"/>
        <w:autoSpaceDE/>
        <w:autoSpaceDN/>
        <w:bidi w:val="0"/>
        <w:snapToGrid w:val="0"/>
        <w:spacing w:line="24" w:lineRule="atLeast"/>
        <w:ind w:left="425" w:leftChars="0" w:hanging="425" w:firstLineChars="0"/>
        <w:rPr>
          <w:rFonts w:hint="eastAsia"/>
          <w:sz w:val="28"/>
          <w:szCs w:val="28"/>
          <w:lang w:val="en-US" w:eastAsia="zh-CN"/>
        </w:rPr>
      </w:pPr>
      <w:r>
        <w:rPr>
          <w:rFonts w:hint="eastAsia"/>
          <w:sz w:val="28"/>
          <w:szCs w:val="28"/>
          <w:lang w:val="en-US" w:eastAsia="zh-CN"/>
        </w:rPr>
        <w:t>供应商提供壹年免费质保服务，服务时间保障：7*24小时。</w:t>
      </w:r>
    </w:p>
    <w:p>
      <w:pPr>
        <w:pageBreakBefore w:val="0"/>
        <w:numPr>
          <w:ilvl w:val="0"/>
          <w:numId w:val="18"/>
        </w:numPr>
        <w:kinsoku/>
        <w:wordWrap/>
        <w:overflowPunct/>
        <w:topLinePunct w:val="0"/>
        <w:autoSpaceDE/>
        <w:autoSpaceDN/>
        <w:bidi w:val="0"/>
        <w:snapToGrid w:val="0"/>
        <w:spacing w:line="24" w:lineRule="atLeast"/>
        <w:ind w:left="425" w:leftChars="0" w:hanging="425" w:firstLineChars="0"/>
        <w:rPr>
          <w:rFonts w:hint="eastAsia"/>
          <w:lang w:val="en-US" w:eastAsia="zh-CN"/>
        </w:rPr>
      </w:pPr>
      <w:r>
        <w:rPr>
          <w:rFonts w:hint="eastAsia"/>
          <w:sz w:val="28"/>
          <w:szCs w:val="28"/>
          <w:lang w:val="en-US" w:eastAsia="zh-CN"/>
        </w:rPr>
        <w:t>★为了实现防止健康码核验及人脸识别测温顺畅使用，产品出现故障可第一时间快速解决，防止人群拥堵扎堆，降低疫情传播风险，要求人脸识别测温一体机、单机芯速通闸机、双机芯速通闸机、住院楼人员通行闸机及控制管理系统、前端人员信息采集系统、数据处理及交换中间件、人脸识别智能引擎软件的产品生产厂家须为同一生产厂家。</w:t>
      </w:r>
    </w:p>
    <w:p>
      <w:pPr>
        <w:pStyle w:val="5"/>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产品成熟度要求</w:t>
      </w:r>
    </w:p>
    <w:p>
      <w:pPr>
        <w:pageBreakBefore w:val="0"/>
        <w:numPr>
          <w:ilvl w:val="0"/>
          <w:numId w:val="19"/>
        </w:numPr>
        <w:kinsoku/>
        <w:wordWrap/>
        <w:overflowPunct/>
        <w:topLinePunct w:val="0"/>
        <w:autoSpaceDE/>
        <w:autoSpaceDN/>
        <w:bidi w:val="0"/>
        <w:snapToGrid w:val="0"/>
        <w:spacing w:line="24" w:lineRule="atLeast"/>
        <w:ind w:left="425" w:leftChars="0" w:hanging="425" w:firstLineChars="0"/>
        <w:rPr>
          <w:rFonts w:hint="eastAsia"/>
          <w:lang w:val="en-US" w:eastAsia="zh-CN"/>
        </w:rPr>
      </w:pPr>
      <w:r>
        <w:rPr>
          <w:rFonts w:hint="eastAsia"/>
          <w:sz w:val="28"/>
          <w:szCs w:val="28"/>
          <w:lang w:val="en-US" w:eastAsia="zh-CN"/>
        </w:rPr>
        <w:t>▲为确保技术具有可靠的应用成熟度，厂家所提供的知识产权取得时间距离本项目投标时间不应短于6个月。</w:t>
      </w:r>
    </w:p>
    <w:p>
      <w:pPr>
        <w:pStyle w:val="3"/>
        <w:pageBreakBefore w:val="0"/>
        <w:kinsoku/>
        <w:wordWrap/>
        <w:overflowPunct/>
        <w:topLinePunct w:val="0"/>
        <w:autoSpaceDE/>
        <w:autoSpaceDN/>
        <w:bidi w:val="0"/>
        <w:snapToGrid w:val="0"/>
        <w:spacing w:line="24" w:lineRule="atLeast"/>
        <w:rPr>
          <w:rFonts w:hint="default"/>
          <w:lang w:val="en-US" w:eastAsia="zh-CN"/>
        </w:rPr>
      </w:pPr>
      <w:r>
        <w:rPr>
          <w:rFonts w:hint="eastAsia"/>
          <w:lang w:val="en-US" w:eastAsia="zh-CN"/>
        </w:rPr>
        <w:t>商务要求</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 项目实施完成期限及地点</w:t>
      </w:r>
    </w:p>
    <w:p>
      <w:pPr>
        <w:pageBreakBefore w:val="0"/>
        <w:numPr>
          <w:ilvl w:val="0"/>
          <w:numId w:val="20"/>
        </w:numPr>
        <w:kinsoku/>
        <w:wordWrap/>
        <w:overflowPunct/>
        <w:topLinePunct w:val="0"/>
        <w:autoSpaceDE/>
        <w:autoSpaceDN/>
        <w:bidi w:val="0"/>
        <w:snapToGrid w:val="0"/>
        <w:spacing w:line="24" w:lineRule="atLeast"/>
        <w:contextualSpacing/>
        <w:rPr>
          <w:rFonts w:hint="eastAsia" w:ascii="宋体" w:hAnsi="宋体" w:eastAsia="宋体" w:cs="宋体"/>
          <w:szCs w:val="21"/>
          <w:lang w:eastAsia="zh-CN"/>
        </w:rPr>
      </w:pPr>
      <w:r>
        <w:rPr>
          <w:rFonts w:hint="eastAsia" w:ascii="宋体" w:hAnsi="宋体" w:cs="宋体"/>
          <w:szCs w:val="21"/>
          <w:lang w:val="en-US" w:eastAsia="zh-CN"/>
        </w:rPr>
        <w:t>交货</w:t>
      </w:r>
      <w:r>
        <w:rPr>
          <w:rFonts w:hint="eastAsia" w:ascii="宋体" w:hAnsi="宋体" w:eastAsia="宋体" w:cs="宋体"/>
          <w:szCs w:val="21"/>
        </w:rPr>
        <w:t>期限：</w:t>
      </w:r>
      <w:r>
        <w:rPr>
          <w:rFonts w:hint="eastAsia" w:ascii="宋体" w:hAnsi="宋体" w:cs="宋体"/>
          <w:szCs w:val="21"/>
          <w:lang w:val="en-US" w:eastAsia="zh-CN"/>
        </w:rPr>
        <w:t>合同签订后30日历日内。</w:t>
      </w:r>
    </w:p>
    <w:p>
      <w:pPr>
        <w:pageBreakBefore w:val="0"/>
        <w:numPr>
          <w:ilvl w:val="0"/>
          <w:numId w:val="20"/>
        </w:numPr>
        <w:kinsoku/>
        <w:wordWrap/>
        <w:overflowPunct/>
        <w:topLinePunct w:val="0"/>
        <w:autoSpaceDE/>
        <w:autoSpaceDN/>
        <w:bidi w:val="0"/>
        <w:snapToGrid w:val="0"/>
        <w:spacing w:line="24" w:lineRule="atLeast"/>
        <w:contextualSpacing/>
        <w:rPr>
          <w:rFonts w:hint="eastAsia" w:ascii="宋体" w:hAnsi="宋体" w:eastAsia="宋体" w:cs="宋体"/>
          <w:szCs w:val="21"/>
          <w:lang w:eastAsia="zh-CN"/>
        </w:rPr>
      </w:pPr>
      <w:r>
        <w:rPr>
          <w:rFonts w:hint="eastAsia" w:ascii="宋体" w:hAnsi="宋体" w:eastAsia="宋体" w:cs="宋体"/>
          <w:szCs w:val="21"/>
        </w:rPr>
        <w:t>交货地点：四川省妇幼保健院</w:t>
      </w:r>
      <w:r>
        <w:rPr>
          <w:rFonts w:hint="eastAsia" w:ascii="宋体" w:hAnsi="宋体" w:cs="宋体"/>
          <w:szCs w:val="21"/>
          <w:lang w:eastAsia="zh-CN"/>
        </w:rPr>
        <w:t>。</w:t>
      </w:r>
    </w:p>
    <w:p>
      <w:pPr>
        <w:pageBreakBefore w:val="0"/>
        <w:kinsoku/>
        <w:wordWrap/>
        <w:overflowPunct/>
        <w:topLinePunct w:val="0"/>
        <w:autoSpaceDE/>
        <w:autoSpaceDN/>
        <w:bidi w:val="0"/>
        <w:snapToGrid w:val="0"/>
        <w:spacing w:line="24" w:lineRule="atLeast"/>
        <w:ind w:firstLine="560" w:firstLineChars="200"/>
        <w:contextualSpacing/>
        <w:rPr>
          <w:rFonts w:ascii="宋体" w:hAnsi="宋体" w:eastAsia="宋体" w:cs="宋体"/>
          <w:szCs w:val="21"/>
        </w:rPr>
      </w:pP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付款方法和条件：</w:t>
      </w:r>
    </w:p>
    <w:p>
      <w:pPr>
        <w:pageBreakBefore w:val="0"/>
        <w:kinsoku/>
        <w:wordWrap/>
        <w:overflowPunct/>
        <w:topLinePunct w:val="0"/>
        <w:autoSpaceDE/>
        <w:autoSpaceDN/>
        <w:bidi w:val="0"/>
        <w:snapToGrid w:val="0"/>
        <w:spacing w:line="24" w:lineRule="atLeast"/>
        <w:ind w:firstLine="420" w:firstLineChars="200"/>
        <w:contextualSpacing/>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按照合同签订方式执行</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 xml:space="preserve">★ </w:t>
      </w:r>
      <w:bookmarkStart w:id="4" w:name="_GoBack"/>
      <w:bookmarkEnd w:id="4"/>
      <w:r>
        <w:rPr>
          <w:rFonts w:hint="eastAsia"/>
          <w:lang w:val="en-US" w:eastAsia="zh-CN"/>
        </w:rPr>
        <w:t>报价要求</w:t>
      </w:r>
    </w:p>
    <w:p>
      <w:pPr>
        <w:pageBreakBefore w:val="0"/>
        <w:numPr>
          <w:ilvl w:val="0"/>
          <w:numId w:val="21"/>
        </w:numPr>
        <w:kinsoku/>
        <w:wordWrap/>
        <w:overflowPunct/>
        <w:topLinePunct w:val="0"/>
        <w:autoSpaceDE/>
        <w:autoSpaceDN/>
        <w:bidi w:val="0"/>
        <w:snapToGrid w:val="0"/>
        <w:spacing w:line="24" w:lineRule="atLeast"/>
        <w:contextualSpacing/>
        <w:rPr>
          <w:rFonts w:hint="eastAsia" w:ascii="宋体" w:hAnsi="宋体" w:cs="宋体"/>
          <w:szCs w:val="21"/>
          <w:lang w:val="en-US" w:eastAsia="zh-CN"/>
        </w:rPr>
      </w:pPr>
      <w:r>
        <w:rPr>
          <w:rFonts w:hint="eastAsia" w:ascii="宋体" w:hAnsi="宋体" w:cs="宋体"/>
          <w:szCs w:val="21"/>
          <w:lang w:val="en-US" w:eastAsia="zh-CN"/>
        </w:rPr>
        <w:t>本次报价包含完成本项目的所有费用，包含项目调研、咨询服务、方案制定、部署实施、税费等费用。</w:t>
      </w:r>
    </w:p>
    <w:p>
      <w:pPr>
        <w:pageBreakBefore w:val="0"/>
        <w:numPr>
          <w:ilvl w:val="0"/>
          <w:numId w:val="21"/>
        </w:numPr>
        <w:kinsoku/>
        <w:wordWrap/>
        <w:overflowPunct/>
        <w:topLinePunct w:val="0"/>
        <w:autoSpaceDE/>
        <w:autoSpaceDN/>
        <w:bidi w:val="0"/>
        <w:snapToGrid w:val="0"/>
        <w:spacing w:line="24" w:lineRule="atLeast"/>
        <w:contextualSpacing/>
        <w:rPr>
          <w:rFonts w:hint="eastAsia" w:ascii="宋体" w:hAnsi="宋体" w:cs="宋体"/>
          <w:szCs w:val="21"/>
          <w:lang w:val="en-US" w:eastAsia="zh-CN"/>
        </w:rPr>
      </w:pPr>
      <w:r>
        <w:rPr>
          <w:rFonts w:hint="eastAsia" w:ascii="宋体" w:hAnsi="宋体" w:cs="宋体"/>
          <w:szCs w:val="21"/>
          <w:lang w:val="en-US" w:eastAsia="zh-CN"/>
        </w:rPr>
        <w:t>涉及与第三方系统对接的的接口费，由中标商承担。</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验收标准：</w:t>
      </w:r>
    </w:p>
    <w:p>
      <w:pPr>
        <w:pageBreakBefore w:val="0"/>
        <w:kinsoku/>
        <w:wordWrap/>
        <w:overflowPunct/>
        <w:topLinePunct w:val="0"/>
        <w:autoSpaceDE/>
        <w:autoSpaceDN/>
        <w:bidi w:val="0"/>
        <w:snapToGrid w:val="0"/>
        <w:spacing w:line="24" w:lineRule="atLeast"/>
        <w:ind w:firstLine="560" w:firstLineChars="200"/>
        <w:contextualSpacing/>
        <w:rPr>
          <w:rFonts w:ascii="宋体" w:hAnsi="宋体" w:eastAsia="宋体" w:cs="宋体"/>
          <w:bCs/>
          <w:szCs w:val="21"/>
        </w:rPr>
      </w:pPr>
      <w:r>
        <w:rPr>
          <w:rFonts w:hint="eastAsia" w:ascii="宋体" w:hAnsi="宋体" w:eastAsia="宋体" w:cs="宋体"/>
          <w:bCs/>
          <w:szCs w:val="21"/>
        </w:rPr>
        <w:t>1）中标人与采购人将严格按照《财政部关于进一步加强政府采购需求和履约验收管理的指导意见》(财库〔2016〕205号)的要求进行验收。</w:t>
      </w:r>
    </w:p>
    <w:p>
      <w:pPr>
        <w:pageBreakBefore w:val="0"/>
        <w:kinsoku/>
        <w:wordWrap/>
        <w:overflowPunct/>
        <w:topLinePunct w:val="0"/>
        <w:autoSpaceDE/>
        <w:autoSpaceDN/>
        <w:bidi w:val="0"/>
        <w:snapToGrid w:val="0"/>
        <w:spacing w:after="160" w:line="24" w:lineRule="atLeast"/>
        <w:ind w:firstLine="560" w:firstLineChars="200"/>
        <w:contextualSpacing/>
        <w:rPr>
          <w:rFonts w:ascii="宋体" w:hAnsi="宋体" w:eastAsia="宋体" w:cs="宋体"/>
          <w:szCs w:val="21"/>
        </w:rPr>
      </w:pPr>
      <w:r>
        <w:rPr>
          <w:rFonts w:hint="eastAsia" w:ascii="宋体" w:hAnsi="宋体" w:eastAsia="宋体" w:cs="宋体"/>
          <w:szCs w:val="21"/>
        </w:rPr>
        <w:t>2）以招标文件技术参数及要求和相关行业标准为准。</w:t>
      </w:r>
    </w:p>
    <w:p>
      <w:pPr>
        <w:pageBreakBefore w:val="0"/>
        <w:kinsoku/>
        <w:wordWrap/>
        <w:overflowPunct/>
        <w:topLinePunct w:val="0"/>
        <w:autoSpaceDE/>
        <w:autoSpaceDN/>
        <w:bidi w:val="0"/>
        <w:spacing w:line="24" w:lineRule="atLeast"/>
        <w:ind w:firstLine="420" w:firstLineChars="0"/>
        <w:rPr>
          <w:rFonts w:hint="eastAsia"/>
          <w:b/>
          <w:bCs/>
          <w:sz w:val="28"/>
          <w:szCs w:val="28"/>
          <w:highlight w:val="none"/>
          <w:lang w:val="en-US" w:eastAsia="zh-CN"/>
        </w:rPr>
      </w:pPr>
    </w:p>
    <w:p>
      <w:pPr>
        <w:pageBreakBefore w:val="0"/>
        <w:kinsoku/>
        <w:wordWrap/>
        <w:overflowPunct/>
        <w:topLinePunct w:val="0"/>
        <w:autoSpaceDE/>
        <w:autoSpaceDN/>
        <w:bidi w:val="0"/>
        <w:spacing w:line="24" w:lineRule="atLeast"/>
        <w:ind w:firstLine="420" w:firstLineChars="0"/>
        <w:rPr>
          <w:rFonts w:hint="eastAsia"/>
          <w:b/>
          <w:bCs/>
          <w:sz w:val="28"/>
          <w:szCs w:val="28"/>
          <w:highlight w:val="none"/>
          <w:lang w:val="en-US" w:eastAsia="zh-CN"/>
        </w:rPr>
      </w:pPr>
      <w:r>
        <w:rPr>
          <w:rFonts w:hint="eastAsia"/>
          <w:b/>
          <w:bCs/>
          <w:sz w:val="28"/>
          <w:szCs w:val="28"/>
          <w:highlight w:val="none"/>
          <w:lang w:val="en-US" w:eastAsia="zh-CN"/>
        </w:rPr>
        <w:t>说明：</w:t>
      </w:r>
    </w:p>
    <w:p>
      <w:pPr>
        <w:pageBreakBefore w:val="0"/>
        <w:numPr>
          <w:ilvl w:val="0"/>
          <w:numId w:val="22"/>
        </w:numPr>
        <w:kinsoku/>
        <w:wordWrap/>
        <w:overflowPunct/>
        <w:topLinePunct w:val="0"/>
        <w:autoSpaceDE/>
        <w:autoSpaceDN/>
        <w:bidi w:val="0"/>
        <w:spacing w:line="24" w:lineRule="atLeast"/>
        <w:ind w:left="425" w:leftChars="0" w:hanging="425" w:firstLineChars="0"/>
        <w:rPr>
          <w:rFonts w:hint="eastAsia"/>
          <w:b/>
          <w:bCs/>
          <w:sz w:val="28"/>
          <w:szCs w:val="28"/>
          <w:highlight w:val="none"/>
          <w:lang w:val="en-US" w:eastAsia="zh-CN"/>
        </w:rPr>
      </w:pPr>
      <w:r>
        <w:rPr>
          <w:rFonts w:hint="eastAsia"/>
          <w:b/>
          <w:bCs/>
          <w:sz w:val="28"/>
          <w:szCs w:val="28"/>
          <w:highlight w:val="none"/>
          <w:lang w:val="en-US" w:eastAsia="zh-CN"/>
        </w:rPr>
        <w:t>参数指标中标★指标为核心指标，该类指标任意一项不满足，凡有一项不满足的作无效投标处理；</w:t>
      </w:r>
    </w:p>
    <w:p>
      <w:pPr>
        <w:pageBreakBefore w:val="0"/>
        <w:numPr>
          <w:ilvl w:val="0"/>
          <w:numId w:val="22"/>
        </w:numPr>
        <w:kinsoku/>
        <w:wordWrap/>
        <w:overflowPunct/>
        <w:topLinePunct w:val="0"/>
        <w:autoSpaceDE/>
        <w:autoSpaceDN/>
        <w:bidi w:val="0"/>
        <w:spacing w:line="24" w:lineRule="atLeast"/>
        <w:ind w:left="425" w:leftChars="0" w:hanging="425" w:firstLineChars="0"/>
        <w:rPr>
          <w:rFonts w:hint="eastAsia"/>
          <w:b/>
          <w:bCs/>
          <w:sz w:val="28"/>
          <w:szCs w:val="28"/>
          <w:highlight w:val="none"/>
          <w:lang w:val="en-US" w:eastAsia="zh-CN"/>
        </w:rPr>
      </w:pPr>
      <w:r>
        <w:rPr>
          <w:rFonts w:hint="eastAsia"/>
          <w:b/>
          <w:bCs/>
          <w:sz w:val="28"/>
          <w:szCs w:val="28"/>
          <w:highlight w:val="none"/>
          <w:lang w:val="en-US" w:eastAsia="zh-CN"/>
        </w:rPr>
        <w:t>参数指标中标▲指标为重要指标；</w:t>
      </w:r>
    </w:p>
    <w:p>
      <w:pPr>
        <w:pageBreakBefore w:val="0"/>
        <w:numPr>
          <w:ilvl w:val="0"/>
          <w:numId w:val="22"/>
        </w:numPr>
        <w:kinsoku/>
        <w:wordWrap/>
        <w:overflowPunct/>
        <w:topLinePunct w:val="0"/>
        <w:autoSpaceDE/>
        <w:autoSpaceDN/>
        <w:bidi w:val="0"/>
        <w:spacing w:line="24" w:lineRule="atLeast"/>
        <w:ind w:left="425" w:leftChars="0" w:hanging="425" w:firstLineChars="0"/>
        <w:rPr>
          <w:rFonts w:hint="eastAsia"/>
          <w:b/>
          <w:bCs/>
          <w:sz w:val="28"/>
          <w:szCs w:val="28"/>
          <w:highlight w:val="none"/>
          <w:lang w:val="en-US" w:eastAsia="zh-CN"/>
        </w:rPr>
      </w:pPr>
      <w:r>
        <w:rPr>
          <w:rFonts w:hint="eastAsia"/>
          <w:b/>
          <w:bCs/>
          <w:sz w:val="28"/>
          <w:szCs w:val="28"/>
          <w:highlight w:val="none"/>
          <w:lang w:val="en-US" w:eastAsia="zh-CN"/>
        </w:rPr>
        <w:t>未标识符号的条款为一般参数条款。</w:t>
      </w:r>
    </w:p>
    <w:p>
      <w:pPr>
        <w:pStyle w:val="2"/>
        <w:pageBreakBefore w:val="0"/>
        <w:kinsoku/>
        <w:wordWrap/>
        <w:overflowPunct/>
        <w:topLinePunct w:val="0"/>
        <w:autoSpaceDE/>
        <w:autoSpaceDN/>
        <w:bidi w:val="0"/>
        <w:spacing w:line="24" w:lineRule="atLeast"/>
        <w:rPr>
          <w:rFonts w:hint="eastAsia"/>
          <w:b/>
          <w:bCs/>
          <w:sz w:val="28"/>
          <w:szCs w:val="28"/>
          <w:highlight w:val="none"/>
          <w:lang w:val="en-US" w:eastAsia="zh-CN"/>
        </w:rPr>
      </w:pPr>
    </w:p>
    <w:p>
      <w:pPr>
        <w:pStyle w:val="3"/>
        <w:pageBreakBefore w:val="0"/>
        <w:kinsoku/>
        <w:wordWrap/>
        <w:overflowPunct/>
        <w:topLinePunct w:val="0"/>
        <w:autoSpaceDE/>
        <w:autoSpaceDN/>
        <w:bidi w:val="0"/>
        <w:spacing w:line="24" w:lineRule="atLeast"/>
        <w:rPr>
          <w:rFonts w:hint="eastAsia"/>
          <w:lang w:val="en-US" w:eastAsia="zh-CN"/>
        </w:rPr>
      </w:pPr>
      <w:r>
        <w:rPr>
          <w:rFonts w:hint="eastAsia"/>
          <w:lang w:val="en-US" w:eastAsia="zh-CN"/>
        </w:rPr>
        <w:t>评分标准</w:t>
      </w:r>
    </w:p>
    <w:tbl>
      <w:tblPr>
        <w:tblStyle w:val="15"/>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36"/>
        <w:gridCol w:w="709"/>
        <w:gridCol w:w="4962"/>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rPr>
                <w:rFonts w:ascii="仿宋_GB2312" w:hAnsi="微软雅黑" w:eastAsia="仿宋_GB2312"/>
                <w:b/>
                <w:sz w:val="30"/>
                <w:szCs w:val="30"/>
              </w:rPr>
            </w:pPr>
            <w:r>
              <w:rPr>
                <w:rFonts w:hint="eastAsia" w:ascii="仿宋_GB2312" w:hAnsi="微软雅黑" w:eastAsia="仿宋_GB2312"/>
                <w:b/>
                <w:sz w:val="30"/>
                <w:szCs w:val="30"/>
              </w:rPr>
              <w:t>序号</w:t>
            </w:r>
          </w:p>
        </w:tc>
        <w:tc>
          <w:tcPr>
            <w:tcW w:w="1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hAnsi="微软雅黑" w:eastAsia="仿宋_GB2312"/>
                <w:b/>
                <w:sz w:val="30"/>
                <w:szCs w:val="30"/>
              </w:rPr>
            </w:pPr>
            <w:r>
              <w:rPr>
                <w:rFonts w:hint="eastAsia" w:ascii="仿宋_GB2312" w:hAnsi="微软雅黑" w:eastAsia="仿宋_GB2312"/>
                <w:b/>
                <w:sz w:val="30"/>
                <w:szCs w:val="30"/>
              </w:rPr>
              <w:t>评分因素</w:t>
            </w:r>
          </w:p>
          <w:p>
            <w:pPr>
              <w:pageBreakBefore w:val="0"/>
              <w:kinsoku/>
              <w:wordWrap/>
              <w:overflowPunct/>
              <w:topLinePunct w:val="0"/>
              <w:autoSpaceDE/>
              <w:autoSpaceDN/>
              <w:bidi w:val="0"/>
              <w:spacing w:line="24" w:lineRule="atLeast"/>
              <w:ind w:firstLine="28"/>
              <w:jc w:val="center"/>
              <w:rPr>
                <w:rFonts w:ascii="仿宋_GB2312" w:hAnsi="微软雅黑" w:eastAsia="仿宋_GB2312"/>
                <w:b/>
                <w:sz w:val="30"/>
                <w:szCs w:val="30"/>
              </w:rPr>
            </w:pPr>
            <w:r>
              <w:rPr>
                <w:rFonts w:hint="eastAsia" w:ascii="仿宋_GB2312" w:hAnsi="微软雅黑" w:eastAsia="仿宋_GB2312"/>
                <w:b/>
                <w:sz w:val="30"/>
                <w:szCs w:val="30"/>
              </w:rPr>
              <w:t>及权重</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hAnsi="微软雅黑" w:eastAsia="仿宋_GB2312"/>
                <w:b/>
                <w:sz w:val="30"/>
                <w:szCs w:val="30"/>
              </w:rPr>
            </w:pPr>
            <w:r>
              <w:rPr>
                <w:rFonts w:hint="eastAsia" w:ascii="仿宋_GB2312" w:hAnsi="微软雅黑" w:eastAsia="仿宋_GB2312"/>
                <w:b/>
                <w:sz w:val="30"/>
                <w:szCs w:val="30"/>
              </w:rPr>
              <w:t>分值</w:t>
            </w:r>
          </w:p>
        </w:tc>
        <w:tc>
          <w:tcPr>
            <w:tcW w:w="49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hAnsi="微软雅黑" w:eastAsia="仿宋_GB2312"/>
                <w:b/>
                <w:sz w:val="30"/>
                <w:szCs w:val="30"/>
              </w:rPr>
            </w:pPr>
            <w:r>
              <w:rPr>
                <w:rFonts w:hint="eastAsia" w:ascii="仿宋_GB2312" w:hAnsi="微软雅黑" w:eastAsia="仿宋_GB2312"/>
                <w:b/>
                <w:sz w:val="30"/>
                <w:szCs w:val="30"/>
              </w:rPr>
              <w:t>评分标准</w:t>
            </w:r>
          </w:p>
        </w:tc>
        <w:tc>
          <w:tcPr>
            <w:tcW w:w="18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hAnsi="微软雅黑" w:eastAsia="仿宋_GB2312"/>
                <w:b/>
                <w:sz w:val="30"/>
                <w:szCs w:val="30"/>
              </w:rPr>
            </w:pPr>
            <w:r>
              <w:rPr>
                <w:rFonts w:hint="eastAsia" w:ascii="仿宋_GB2312" w:hAnsi="微软雅黑" w:eastAsia="仿宋_GB2312"/>
                <w:b/>
                <w:sz w:val="30"/>
                <w:szCs w:val="3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1</w:t>
            </w:r>
          </w:p>
        </w:tc>
        <w:tc>
          <w:tcPr>
            <w:tcW w:w="1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报价</w:t>
            </w:r>
          </w:p>
          <w:p>
            <w:pPr>
              <w:pageBreakBefore w:val="0"/>
              <w:kinsoku/>
              <w:wordWrap/>
              <w:overflowPunct/>
              <w:topLinePunct w:val="0"/>
              <w:autoSpaceDE/>
              <w:autoSpaceDN/>
              <w:bidi w:val="0"/>
              <w:spacing w:line="24" w:lineRule="atLeast"/>
              <w:ind w:firstLine="28"/>
              <w:jc w:val="center"/>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35%</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35分</w:t>
            </w:r>
          </w:p>
        </w:tc>
        <w:tc>
          <w:tcPr>
            <w:tcW w:w="49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jc w:val="lef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满足招标文件要求且投标价格最低的投标报价为评标基准价，其服务提供商的报价分为最高分35分。其他服务提供商的报价分按以下公式计算：报价得分=(评标基准价／投标报价)×0.35×100。</w:t>
            </w:r>
          </w:p>
        </w:tc>
        <w:tc>
          <w:tcPr>
            <w:tcW w:w="18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2</w:t>
            </w:r>
          </w:p>
        </w:tc>
        <w:tc>
          <w:tcPr>
            <w:tcW w:w="1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lef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技术参数要求55%</w:t>
            </w:r>
          </w:p>
          <w:p>
            <w:pPr>
              <w:pageBreakBefore w:val="0"/>
              <w:kinsoku/>
              <w:wordWrap/>
              <w:overflowPunct/>
              <w:topLinePunct w:val="0"/>
              <w:autoSpaceDE/>
              <w:autoSpaceDN/>
              <w:bidi w:val="0"/>
              <w:spacing w:line="24" w:lineRule="atLeast"/>
              <w:ind w:firstLine="28"/>
              <w:jc w:val="center"/>
              <w:rPr>
                <w:rFonts w:ascii="仿宋_GB2312" w:eastAsia="仿宋_GB2312" w:hAnsiTheme="minorEastAsia" w:cstheme="minorEastAsia"/>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55分</w:t>
            </w:r>
          </w:p>
        </w:tc>
        <w:tc>
          <w:tcPr>
            <w:tcW w:w="49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lef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1. 投标人须按技术参数要求中的编号逐条应答，完全符合招标文件技术服务、商务及其他要求没有负偏离的得55分；带“★”的条款为实质性参数，不允许负偏离，凡有一项不满足的作无效投标处理。</w:t>
            </w:r>
          </w:p>
          <w:p>
            <w:pPr>
              <w:pageBreakBefore w:val="0"/>
              <w:kinsoku/>
              <w:wordWrap/>
              <w:overflowPunct/>
              <w:topLinePunct w:val="0"/>
              <w:autoSpaceDE/>
              <w:autoSpaceDN/>
              <w:bidi w:val="0"/>
              <w:spacing w:line="24" w:lineRule="atLeast"/>
              <w:ind w:firstLine="28"/>
              <w:jc w:val="left"/>
              <w:rPr>
                <w:rFonts w:hint="eastAsia" w:ascii="仿宋_GB2312" w:eastAsia="仿宋_GB2312" w:hAnsiTheme="minorEastAsia" w:cstheme="minorEastAsia"/>
                <w:sz w:val="30"/>
                <w:szCs w:val="30"/>
              </w:rPr>
            </w:pPr>
            <w:r>
              <w:rPr>
                <w:rFonts w:hint="eastAsia" w:ascii="仿宋_GB2312" w:eastAsia="仿宋_GB2312" w:hAnsiTheme="minorEastAsia" w:cstheme="minorEastAsia"/>
                <w:sz w:val="30"/>
                <w:szCs w:val="30"/>
              </w:rPr>
              <w:t>2. “▲”的条款为重要参数，带“▲”项负偏离的，每项扣2分</w:t>
            </w:r>
            <w:r>
              <w:rPr>
                <w:rFonts w:hint="eastAsia" w:ascii="仿宋_GB2312" w:eastAsia="仿宋_GB2312" w:hAnsiTheme="minorEastAsia" w:cstheme="minorEastAsia"/>
                <w:sz w:val="30"/>
                <w:szCs w:val="30"/>
                <w:lang w:eastAsia="zh-CN"/>
              </w:rPr>
              <w:t>，</w:t>
            </w:r>
            <w:r>
              <w:rPr>
                <w:rFonts w:hint="eastAsia" w:ascii="仿宋_GB2312" w:eastAsia="仿宋_GB2312" w:hAnsiTheme="minorEastAsia" w:cstheme="minorEastAsia"/>
                <w:sz w:val="30"/>
                <w:szCs w:val="30"/>
              </w:rPr>
              <w:t>扣完为止</w:t>
            </w:r>
          </w:p>
          <w:p>
            <w:pPr>
              <w:pageBreakBefore w:val="0"/>
              <w:kinsoku/>
              <w:wordWrap/>
              <w:overflowPunct/>
              <w:topLinePunct w:val="0"/>
              <w:autoSpaceDE/>
              <w:autoSpaceDN/>
              <w:bidi w:val="0"/>
              <w:spacing w:line="24" w:lineRule="atLeast"/>
              <w:jc w:val="lef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未标识符号的参数为一般参数，一般参数有一项负偏离的扣</w:t>
            </w:r>
            <w:r>
              <w:rPr>
                <w:rFonts w:ascii="仿宋_GB2312" w:eastAsia="仿宋_GB2312" w:hAnsiTheme="minorEastAsia" w:cstheme="minorEastAsia"/>
                <w:sz w:val="30"/>
                <w:szCs w:val="30"/>
              </w:rPr>
              <w:t>0.5</w:t>
            </w:r>
            <w:r>
              <w:rPr>
                <w:rFonts w:hint="eastAsia" w:ascii="仿宋_GB2312" w:eastAsia="仿宋_GB2312" w:hAnsiTheme="minorEastAsia" w:cstheme="minorEastAsia"/>
                <w:sz w:val="30"/>
                <w:szCs w:val="30"/>
              </w:rPr>
              <w:t>分。</w:t>
            </w:r>
          </w:p>
          <w:p>
            <w:pPr>
              <w:pageBreakBefore w:val="0"/>
              <w:kinsoku/>
              <w:wordWrap/>
              <w:overflowPunct/>
              <w:topLinePunct w:val="0"/>
              <w:autoSpaceDE/>
              <w:autoSpaceDN/>
              <w:bidi w:val="0"/>
              <w:spacing w:line="24" w:lineRule="atLeast"/>
              <w:ind w:firstLine="28"/>
              <w:jc w:val="left"/>
              <w:rPr>
                <w:rFonts w:ascii="仿宋_GB2312" w:eastAsia="仿宋_GB2312" w:hAnsiTheme="minorEastAsia" w:cstheme="minorEastAsia"/>
                <w:sz w:val="30"/>
                <w:szCs w:val="30"/>
              </w:rPr>
            </w:pPr>
          </w:p>
          <w:p>
            <w:pPr>
              <w:pageBreakBefore w:val="0"/>
              <w:kinsoku/>
              <w:wordWrap/>
              <w:overflowPunct/>
              <w:topLinePunct w:val="0"/>
              <w:autoSpaceDE/>
              <w:autoSpaceDN/>
              <w:bidi w:val="0"/>
              <w:spacing w:line="24" w:lineRule="atLeast"/>
              <w:ind w:firstLine="28"/>
              <w:jc w:val="lef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招标文件要求提供技术证明文件的投标人必须如实响应并按要求提供证明文件，不能提供符合要求的证明文件的视为负偏离，作相应扣分处理。</w:t>
            </w:r>
          </w:p>
        </w:tc>
        <w:tc>
          <w:tcPr>
            <w:tcW w:w="18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3</w:t>
            </w:r>
          </w:p>
        </w:tc>
        <w:tc>
          <w:tcPr>
            <w:tcW w:w="1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jc w:val="lef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主要投标产品制造商服务水平</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eastAsia="仿宋_GB2312" w:hAnsiTheme="minorEastAsia" w:cstheme="minorEastAsia"/>
                <w:sz w:val="30"/>
                <w:szCs w:val="30"/>
                <w:u w:val="single"/>
              </w:rPr>
            </w:pPr>
            <w:r>
              <w:rPr>
                <w:rFonts w:hint="eastAsia" w:ascii="仿宋_GB2312" w:eastAsia="仿宋_GB2312" w:hAnsiTheme="minorEastAsia" w:cstheme="minorEastAsia"/>
                <w:sz w:val="30"/>
                <w:szCs w:val="30"/>
              </w:rPr>
              <w:t>5分</w:t>
            </w:r>
          </w:p>
        </w:tc>
        <w:tc>
          <w:tcPr>
            <w:tcW w:w="49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lef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道闸机制造商提供应急响应内容承诺函，现场服务响应时间在2小时内的，得5分；现场服务响应时间在4小时内的，得3分；现场服务响应时间在8小时内的，得1分;现场服务响应时间在24小时内的不得分。</w:t>
            </w:r>
          </w:p>
        </w:tc>
        <w:tc>
          <w:tcPr>
            <w:tcW w:w="18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4</w:t>
            </w:r>
          </w:p>
        </w:tc>
        <w:tc>
          <w:tcPr>
            <w:tcW w:w="1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lef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售后服务方案</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lef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3分</w:t>
            </w:r>
          </w:p>
        </w:tc>
        <w:tc>
          <w:tcPr>
            <w:tcW w:w="49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lef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所投产品质保两年，并提供现场服务的得1分；所投产品质保三年及以上的，并提供现场服务的得3分；（最多得3分）其它的不得分。</w:t>
            </w:r>
          </w:p>
        </w:tc>
        <w:tc>
          <w:tcPr>
            <w:tcW w:w="18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5</w:t>
            </w:r>
          </w:p>
        </w:tc>
        <w:tc>
          <w:tcPr>
            <w:tcW w:w="1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lef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投标文件的规范性</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eastAsia="仿宋_GB2312" w:hAnsiTheme="minorEastAsia" w:cstheme="minorEastAsia"/>
                <w:sz w:val="30"/>
                <w:szCs w:val="30"/>
                <w:u w:val="single"/>
              </w:rPr>
            </w:pPr>
            <w:r>
              <w:rPr>
                <w:rFonts w:hint="eastAsia" w:ascii="仿宋_GB2312" w:eastAsia="仿宋_GB2312" w:hAnsiTheme="minorEastAsia" w:cstheme="minorEastAsia"/>
                <w:sz w:val="30"/>
                <w:szCs w:val="30"/>
              </w:rPr>
              <w:t>2分</w:t>
            </w:r>
          </w:p>
        </w:tc>
        <w:tc>
          <w:tcPr>
            <w:tcW w:w="49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lef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投标文件制作规范，没有细微偏差情形的得2分；有一项细微偏差扣0.5分，直至该项分值扣完为止。</w:t>
            </w:r>
          </w:p>
        </w:tc>
        <w:tc>
          <w:tcPr>
            <w:tcW w:w="18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rPr>
                <w:rFonts w:ascii="仿宋_GB2312" w:eastAsia="仿宋_GB2312" w:hAnsiTheme="minorEastAsia" w:cstheme="minorEastAsia"/>
                <w:sz w:val="30"/>
                <w:szCs w:val="30"/>
              </w:rPr>
            </w:pPr>
            <w:r>
              <w:rPr>
                <w:rFonts w:hint="eastAsia" w:ascii="仿宋_GB2312" w:eastAsia="仿宋_GB2312" w:hAnsiTheme="minorEastAsia" w:cstheme="minorEastAsia"/>
                <w:sz w:val="30"/>
                <w:szCs w:val="30"/>
              </w:rPr>
              <w:t>共同评分因素</w:t>
            </w:r>
          </w:p>
        </w:tc>
      </w:tr>
    </w:tbl>
    <w:p>
      <w:pPr>
        <w:pageBreakBefore w:val="0"/>
        <w:kinsoku/>
        <w:wordWrap/>
        <w:overflowPunct/>
        <w:topLinePunct w:val="0"/>
        <w:autoSpaceDE/>
        <w:autoSpaceDN/>
        <w:bidi w:val="0"/>
        <w:spacing w:line="24" w:lineRule="atLeast"/>
      </w:pPr>
    </w:p>
    <w:p>
      <w:pPr>
        <w:pageBreakBefore w:val="0"/>
        <w:kinsoku/>
        <w:wordWrap/>
        <w:overflowPunct/>
        <w:topLinePunct w:val="0"/>
        <w:autoSpaceDE/>
        <w:autoSpaceDN/>
        <w:bidi w:val="0"/>
        <w:spacing w:line="24" w:lineRule="atLeast"/>
        <w:rPr>
          <w:rFonts w:hint="eastAsia"/>
          <w:lang w:val="en-US" w:eastAsia="zh-CN"/>
        </w:rPr>
      </w:pPr>
    </w:p>
    <w:p>
      <w:pPr>
        <w:pageBreakBefore w:val="0"/>
        <w:kinsoku/>
        <w:wordWrap/>
        <w:overflowPunct/>
        <w:topLinePunct w:val="0"/>
        <w:autoSpaceDE/>
        <w:autoSpaceDN/>
        <w:bidi w:val="0"/>
        <w:spacing w:line="24" w:lineRule="atLeast"/>
        <w:rPr>
          <w:rFonts w:hint="eastAsia"/>
          <w:b/>
          <w:bCs/>
          <w:sz w:val="28"/>
          <w:szCs w:val="28"/>
          <w:highlight w:val="none"/>
          <w:lang w:val="en-US" w:eastAsia="zh-CN"/>
        </w:rPr>
      </w:pPr>
      <w:r>
        <w:rPr>
          <w:rFonts w:hint="eastAsia"/>
          <w:b/>
          <w:bCs/>
          <w:sz w:val="28"/>
          <w:szCs w:val="28"/>
          <w:highlight w:val="none"/>
          <w:lang w:val="en-US" w:eastAsia="zh-CN"/>
        </w:rPr>
        <w:br w:type="page"/>
      </w:r>
    </w:p>
    <w:p>
      <w:pPr>
        <w:pageBreakBefore w:val="0"/>
        <w:kinsoku/>
        <w:wordWrap/>
        <w:overflowPunct/>
        <w:topLinePunct w:val="0"/>
        <w:autoSpaceDE/>
        <w:autoSpaceDN/>
        <w:bidi w:val="0"/>
        <w:adjustRightInd w:val="0"/>
        <w:snapToGrid w:val="0"/>
        <w:spacing w:before="156" w:beforeLines="50" w:after="156" w:afterLines="50" w:line="24" w:lineRule="atLeast"/>
        <w:outlineLvl w:val="0"/>
        <w:rPr>
          <w:rFonts w:ascii="黑体" w:hAnsi="宋体" w:eastAsia="黑体"/>
          <w:bCs/>
          <w:sz w:val="32"/>
          <w:szCs w:val="32"/>
        </w:rPr>
      </w:pPr>
      <w:r>
        <w:rPr>
          <w:rFonts w:hint="eastAsia" w:ascii="微软雅黑" w:hAnsi="微软雅黑" w:eastAsia="微软雅黑"/>
          <w:b w:val="0"/>
          <w:bCs/>
          <w:color w:val="000000"/>
          <w:sz w:val="28"/>
          <w:szCs w:val="21"/>
        </w:rPr>
        <w:t>附件</w:t>
      </w:r>
      <w:r>
        <w:rPr>
          <w:rFonts w:hint="eastAsia" w:ascii="微软雅黑" w:hAnsi="微软雅黑" w:eastAsia="微软雅黑"/>
          <w:b w:val="0"/>
          <w:bCs/>
          <w:color w:val="000000"/>
          <w:sz w:val="28"/>
          <w:szCs w:val="21"/>
          <w:lang w:val="en-US" w:eastAsia="zh-CN"/>
        </w:rPr>
        <w:t>2</w:t>
      </w:r>
      <w:r>
        <w:rPr>
          <w:rFonts w:hint="eastAsia" w:ascii="微软雅黑" w:hAnsi="微软雅黑" w:eastAsia="微软雅黑"/>
          <w:b w:val="0"/>
          <w:bCs/>
          <w:color w:val="000000"/>
          <w:sz w:val="28"/>
          <w:szCs w:val="21"/>
        </w:rPr>
        <w:t>：</w:t>
      </w:r>
    </w:p>
    <w:p>
      <w:pPr>
        <w:pageBreakBefore w:val="0"/>
        <w:kinsoku/>
        <w:wordWrap/>
        <w:overflowPunct/>
        <w:topLinePunct w:val="0"/>
        <w:autoSpaceDE/>
        <w:autoSpaceDN/>
        <w:bidi w:val="0"/>
        <w:spacing w:line="24" w:lineRule="atLeast"/>
        <w:jc w:val="center"/>
        <w:rPr>
          <w:rFonts w:ascii="微软雅黑" w:hAnsi="微软雅黑" w:eastAsia="微软雅黑"/>
          <w:b/>
          <w:bCs/>
          <w:sz w:val="32"/>
          <w:szCs w:val="32"/>
        </w:rPr>
      </w:pPr>
      <w:r>
        <w:rPr>
          <w:rFonts w:hint="eastAsia" w:ascii="微软雅黑" w:hAnsi="微软雅黑" w:eastAsia="微软雅黑"/>
          <w:b/>
          <w:bCs/>
          <w:sz w:val="32"/>
          <w:szCs w:val="32"/>
        </w:rPr>
        <w:t>采购文件书装订顺序</w:t>
      </w:r>
    </w:p>
    <w:p>
      <w:pPr>
        <w:pageBreakBefore w:val="0"/>
        <w:kinsoku/>
        <w:wordWrap/>
        <w:overflowPunct/>
        <w:topLinePunct w:val="0"/>
        <w:autoSpaceDE/>
        <w:autoSpaceDN/>
        <w:bidi w:val="0"/>
        <w:spacing w:line="24"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1、封面（公司、项目、联系人、联系方式）</w:t>
      </w:r>
    </w:p>
    <w:p>
      <w:pPr>
        <w:pageBreakBefore w:val="0"/>
        <w:kinsoku/>
        <w:wordWrap/>
        <w:overflowPunct/>
        <w:topLinePunct w:val="0"/>
        <w:autoSpaceDE/>
        <w:autoSpaceDN/>
        <w:bidi w:val="0"/>
        <w:spacing w:line="24"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2、目录</w:t>
      </w:r>
    </w:p>
    <w:p>
      <w:pPr>
        <w:pageBreakBefore w:val="0"/>
        <w:tabs>
          <w:tab w:val="left" w:pos="0"/>
        </w:tabs>
        <w:kinsoku/>
        <w:wordWrap/>
        <w:overflowPunct/>
        <w:topLinePunct w:val="0"/>
        <w:autoSpaceDE/>
        <w:autoSpaceDN/>
        <w:bidi w:val="0"/>
        <w:spacing w:line="24"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3、品目及报价表（格式见附件1）</w:t>
      </w:r>
    </w:p>
    <w:p>
      <w:pPr>
        <w:pageBreakBefore w:val="0"/>
        <w:kinsoku/>
        <w:wordWrap/>
        <w:overflowPunct/>
        <w:topLinePunct w:val="0"/>
        <w:autoSpaceDE/>
        <w:autoSpaceDN/>
        <w:bidi w:val="0"/>
        <w:spacing w:line="24"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4、规格型号、配置及偏离表（格式见附件3）</w:t>
      </w:r>
    </w:p>
    <w:p>
      <w:pPr>
        <w:pageBreakBefore w:val="0"/>
        <w:kinsoku/>
        <w:wordWrap/>
        <w:overflowPunct/>
        <w:topLinePunct w:val="0"/>
        <w:autoSpaceDE/>
        <w:autoSpaceDN/>
        <w:bidi w:val="0"/>
        <w:spacing w:line="24"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5、企业营业执照（复印件）</w:t>
      </w:r>
    </w:p>
    <w:p>
      <w:pPr>
        <w:pageBreakBefore w:val="0"/>
        <w:kinsoku/>
        <w:wordWrap/>
        <w:overflowPunct/>
        <w:topLinePunct w:val="0"/>
        <w:autoSpaceDE/>
        <w:autoSpaceDN/>
        <w:bidi w:val="0"/>
        <w:spacing w:line="24"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6、</w:t>
      </w:r>
      <w:r>
        <w:rPr>
          <w:rFonts w:hint="eastAsia" w:ascii="微软雅黑" w:hAnsi="微软雅黑" w:eastAsia="微软雅黑"/>
          <w:sz w:val="24"/>
          <w:szCs w:val="24"/>
        </w:rPr>
        <w:t>组织机构代码证、税务登记证（复印件）</w:t>
      </w:r>
    </w:p>
    <w:p>
      <w:pPr>
        <w:pageBreakBefore w:val="0"/>
        <w:kinsoku/>
        <w:wordWrap/>
        <w:overflowPunct/>
        <w:topLinePunct w:val="0"/>
        <w:autoSpaceDE/>
        <w:autoSpaceDN/>
        <w:bidi w:val="0"/>
        <w:spacing w:line="24"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7、法定代表人授权书（原件，格式见附件3）暨经办人授权书，法人、经办人身份证（复印件）</w:t>
      </w:r>
    </w:p>
    <w:p>
      <w:pPr>
        <w:pageBreakBefore w:val="0"/>
        <w:kinsoku/>
        <w:wordWrap/>
        <w:overflowPunct/>
        <w:topLinePunct w:val="0"/>
        <w:autoSpaceDE/>
        <w:autoSpaceDN/>
        <w:bidi w:val="0"/>
        <w:spacing w:line="24"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8、生产厂家授权书（投标人不是生产厂家的）</w:t>
      </w:r>
    </w:p>
    <w:p>
      <w:pPr>
        <w:pageBreakBefore w:val="0"/>
        <w:kinsoku/>
        <w:wordWrap/>
        <w:overflowPunct/>
        <w:topLinePunct w:val="0"/>
        <w:autoSpaceDE/>
        <w:autoSpaceDN/>
        <w:bidi w:val="0"/>
        <w:spacing w:line="24"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9、</w:t>
      </w:r>
      <w:r>
        <w:rPr>
          <w:rFonts w:hint="eastAsia" w:ascii="微软雅黑" w:hAnsi="微软雅黑" w:eastAsia="微软雅黑"/>
          <w:bCs/>
          <w:sz w:val="24"/>
          <w:szCs w:val="24"/>
        </w:rPr>
        <w:t>如有</w:t>
      </w:r>
      <w:r>
        <w:rPr>
          <w:rFonts w:hint="eastAsia" w:ascii="微软雅黑" w:hAnsi="微软雅黑" w:eastAsia="微软雅黑"/>
          <w:sz w:val="24"/>
          <w:szCs w:val="24"/>
        </w:rPr>
        <w:t>产品质量和企业管理体系认证（考核），请提供的有效证明文件的复印或扫描件，质量管理体系认证包括FDA、CE、ISO等认证（提供中文翻译复印件）</w:t>
      </w:r>
    </w:p>
    <w:p>
      <w:pPr>
        <w:pageBreakBefore w:val="0"/>
        <w:kinsoku/>
        <w:wordWrap/>
        <w:overflowPunct/>
        <w:topLinePunct w:val="0"/>
        <w:autoSpaceDE/>
        <w:autoSpaceDN/>
        <w:bidi w:val="0"/>
        <w:spacing w:line="24"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10、质量检测中心或法定机构出具的产品检测报告，性能自测报告，出厂检验报告的复印或扫描件</w:t>
      </w:r>
    </w:p>
    <w:p>
      <w:pPr>
        <w:pageBreakBefore w:val="0"/>
        <w:kinsoku/>
        <w:wordWrap/>
        <w:overflowPunct/>
        <w:topLinePunct w:val="0"/>
        <w:autoSpaceDE/>
        <w:autoSpaceDN/>
        <w:bidi w:val="0"/>
        <w:spacing w:line="24"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11、如有其他证书：产品在技术、节能、安全、环保和自主创新方面获得的认证证书或制造厂家和产品所获国家级荣誉称号等复印或扫描件</w:t>
      </w:r>
    </w:p>
    <w:p>
      <w:pPr>
        <w:pageBreakBefore w:val="0"/>
        <w:kinsoku/>
        <w:wordWrap/>
        <w:overflowPunct/>
        <w:topLinePunct w:val="0"/>
        <w:autoSpaceDE/>
        <w:autoSpaceDN/>
        <w:bidi w:val="0"/>
        <w:spacing w:line="24" w:lineRule="atLeast"/>
        <w:ind w:firstLine="480" w:firstLineChars="200"/>
        <w:rPr>
          <w:rFonts w:ascii="微软雅黑" w:hAnsi="微软雅黑" w:eastAsia="微软雅黑"/>
          <w:sz w:val="24"/>
          <w:szCs w:val="24"/>
        </w:rPr>
      </w:pPr>
      <w:r>
        <w:rPr>
          <w:rFonts w:hint="eastAsia" w:ascii="微软雅黑" w:hAnsi="微软雅黑" w:eastAsia="微软雅黑"/>
          <w:bCs/>
          <w:sz w:val="24"/>
          <w:szCs w:val="24"/>
        </w:rPr>
        <w:t>12、</w:t>
      </w:r>
      <w:r>
        <w:rPr>
          <w:rFonts w:hint="eastAsia" w:ascii="微软雅黑" w:hAnsi="微软雅黑" w:eastAsia="微软雅黑"/>
          <w:sz w:val="24"/>
          <w:szCs w:val="24"/>
        </w:rPr>
        <w:t>产品执行标准（提供产品注册标准：YZB等资料供评审）</w:t>
      </w:r>
    </w:p>
    <w:p>
      <w:pPr>
        <w:pageBreakBefore w:val="0"/>
        <w:kinsoku/>
        <w:wordWrap/>
        <w:overflowPunct/>
        <w:topLinePunct w:val="0"/>
        <w:autoSpaceDE/>
        <w:autoSpaceDN/>
        <w:bidi w:val="0"/>
        <w:spacing w:line="24"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13、</w:t>
      </w:r>
      <w:r>
        <w:rPr>
          <w:rFonts w:hint="eastAsia" w:ascii="微软雅黑" w:hAnsi="微软雅黑" w:eastAsia="微软雅黑"/>
          <w:bCs/>
          <w:sz w:val="24"/>
          <w:szCs w:val="24"/>
        </w:rPr>
        <w:t>产品质量及货源保证书</w:t>
      </w:r>
    </w:p>
    <w:p>
      <w:pPr>
        <w:pageBreakBefore w:val="0"/>
        <w:kinsoku/>
        <w:wordWrap/>
        <w:overflowPunct/>
        <w:topLinePunct w:val="0"/>
        <w:autoSpaceDE/>
        <w:autoSpaceDN/>
        <w:bidi w:val="0"/>
        <w:spacing w:line="24"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14、</w:t>
      </w:r>
      <w:r>
        <w:rPr>
          <w:rFonts w:hint="eastAsia" w:ascii="微软雅黑" w:hAnsi="微软雅黑" w:eastAsia="微软雅黑"/>
          <w:bCs/>
          <w:spacing w:val="8"/>
          <w:sz w:val="24"/>
          <w:szCs w:val="24"/>
        </w:rPr>
        <w:t>售后</w:t>
      </w:r>
      <w:r>
        <w:rPr>
          <w:rFonts w:hint="eastAsia" w:ascii="微软雅黑" w:hAnsi="微软雅黑" w:eastAsia="微软雅黑"/>
          <w:bCs/>
          <w:sz w:val="24"/>
          <w:szCs w:val="24"/>
        </w:rPr>
        <w:t>服务承诺书</w:t>
      </w:r>
    </w:p>
    <w:p>
      <w:pPr>
        <w:pageBreakBefore w:val="0"/>
        <w:kinsoku/>
        <w:wordWrap/>
        <w:overflowPunct/>
        <w:topLinePunct w:val="0"/>
        <w:autoSpaceDE/>
        <w:autoSpaceDN/>
        <w:bidi w:val="0"/>
        <w:spacing w:line="24"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15、</w:t>
      </w:r>
      <w:r>
        <w:rPr>
          <w:rFonts w:hint="eastAsia" w:ascii="微软雅黑" w:hAnsi="微软雅黑" w:eastAsia="微软雅黑"/>
          <w:bCs/>
          <w:spacing w:val="8"/>
          <w:sz w:val="24"/>
          <w:szCs w:val="24"/>
        </w:rPr>
        <w:t>如有，提供进口原材料证明书或产品报关资料等</w:t>
      </w:r>
    </w:p>
    <w:p>
      <w:pPr>
        <w:pageBreakBefore w:val="0"/>
        <w:kinsoku/>
        <w:wordWrap/>
        <w:overflowPunct/>
        <w:topLinePunct w:val="0"/>
        <w:autoSpaceDE/>
        <w:autoSpaceDN/>
        <w:bidi w:val="0"/>
        <w:spacing w:line="24"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16、产品说明书或</w:t>
      </w:r>
      <w:r>
        <w:rPr>
          <w:rFonts w:hint="eastAsia" w:ascii="微软雅黑" w:hAnsi="微软雅黑" w:eastAsia="微软雅黑"/>
          <w:sz w:val="24"/>
          <w:szCs w:val="24"/>
        </w:rPr>
        <w:t>与投标产品型号一致的产品彩页资料和其他有关介绍资料。业绩证明文件（近三年用户名单及联系人与联系方式及合同复印件或近三个月内送货复印件，格式见附件3）。</w:t>
      </w:r>
    </w:p>
    <w:p>
      <w:pPr>
        <w:pageBreakBefore w:val="0"/>
        <w:kinsoku/>
        <w:wordWrap/>
        <w:overflowPunct/>
        <w:topLinePunct w:val="0"/>
        <w:autoSpaceDE/>
        <w:autoSpaceDN/>
        <w:bidi w:val="0"/>
        <w:spacing w:line="24"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17、</w:t>
      </w:r>
      <w:r>
        <w:rPr>
          <w:rFonts w:hint="eastAsia" w:ascii="微软雅黑" w:hAnsi="微软雅黑" w:eastAsia="微软雅黑"/>
          <w:bCs/>
          <w:sz w:val="24"/>
          <w:szCs w:val="24"/>
        </w:rPr>
        <w:t>如有物流公司配送，请提供</w:t>
      </w:r>
      <w:r>
        <w:rPr>
          <w:rFonts w:hint="eastAsia" w:ascii="微软雅黑" w:hAnsi="微软雅黑" w:eastAsia="微软雅黑"/>
          <w:sz w:val="24"/>
          <w:szCs w:val="24"/>
        </w:rPr>
        <w:t>配送证明材料：配送商基本情况、配送商营业执照复印件、配送商经营许可证复印件</w:t>
      </w:r>
    </w:p>
    <w:p>
      <w:pPr>
        <w:pageBreakBefore w:val="0"/>
        <w:kinsoku/>
        <w:wordWrap/>
        <w:overflowPunct/>
        <w:topLinePunct w:val="0"/>
        <w:autoSpaceDE/>
        <w:autoSpaceDN/>
        <w:bidi w:val="0"/>
        <w:spacing w:line="24"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18、</w:t>
      </w:r>
      <w:r>
        <w:rPr>
          <w:rFonts w:hint="eastAsia" w:ascii="微软雅黑" w:hAnsi="微软雅黑" w:eastAsia="微软雅黑"/>
          <w:sz w:val="24"/>
          <w:szCs w:val="24"/>
        </w:rPr>
        <w:t>如有，国家规定的其它相关资质证明文件或其它涉及特许经营许可的须提供相关证书。如：卫生许可证、药品经营许可证、生产批件或新药证书等；</w:t>
      </w:r>
    </w:p>
    <w:p>
      <w:pPr>
        <w:pageBreakBefore w:val="0"/>
        <w:kinsoku/>
        <w:wordWrap/>
        <w:overflowPunct/>
        <w:topLinePunct w:val="0"/>
        <w:autoSpaceDE/>
        <w:autoSpaceDN/>
        <w:bidi w:val="0"/>
        <w:spacing w:line="24"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19、封底</w:t>
      </w:r>
    </w:p>
    <w:p>
      <w:pPr>
        <w:pageBreakBefore w:val="0"/>
        <w:tabs>
          <w:tab w:val="left" w:pos="0"/>
        </w:tabs>
        <w:kinsoku/>
        <w:wordWrap/>
        <w:overflowPunct/>
        <w:topLinePunct w:val="0"/>
        <w:autoSpaceDE/>
        <w:autoSpaceDN/>
        <w:bidi w:val="0"/>
        <w:spacing w:line="24" w:lineRule="atLeast"/>
        <w:ind w:firstLine="480" w:firstLineChars="200"/>
        <w:rPr>
          <w:rFonts w:ascii="微软雅黑" w:hAnsi="微软雅黑" w:eastAsia="微软雅黑"/>
          <w:bCs/>
          <w:sz w:val="24"/>
          <w:szCs w:val="24"/>
        </w:rPr>
      </w:pPr>
    </w:p>
    <w:p>
      <w:pPr>
        <w:pageBreakBefore w:val="0"/>
        <w:kinsoku/>
        <w:wordWrap/>
        <w:overflowPunct/>
        <w:topLinePunct w:val="0"/>
        <w:autoSpaceDE/>
        <w:autoSpaceDN/>
        <w:bidi w:val="0"/>
        <w:spacing w:line="24" w:lineRule="atLeast"/>
        <w:rPr>
          <w:rFonts w:ascii="微软雅黑" w:hAnsi="微软雅黑" w:eastAsia="微软雅黑"/>
          <w:b/>
          <w:sz w:val="24"/>
          <w:szCs w:val="24"/>
        </w:rPr>
      </w:pPr>
      <w:r>
        <w:rPr>
          <w:rFonts w:hint="eastAsia" w:ascii="微软雅黑" w:hAnsi="微软雅黑" w:eastAsia="微软雅黑"/>
          <w:b/>
          <w:bCs/>
          <w:sz w:val="24"/>
          <w:szCs w:val="24"/>
        </w:rPr>
        <w:t>注：请务必按以上顺序装订资料，如有非中文资料，请同时提供中文翻译件。</w:t>
      </w:r>
    </w:p>
    <w:p>
      <w:pPr>
        <w:pageBreakBefore w:val="0"/>
        <w:kinsoku/>
        <w:wordWrap/>
        <w:overflowPunct/>
        <w:topLinePunct w:val="0"/>
        <w:autoSpaceDE/>
        <w:autoSpaceDN/>
        <w:bidi w:val="0"/>
        <w:adjustRightInd w:val="0"/>
        <w:snapToGrid w:val="0"/>
        <w:spacing w:before="156" w:beforeLines="50" w:after="156" w:afterLines="50" w:line="24" w:lineRule="atLeast"/>
        <w:outlineLvl w:val="0"/>
        <w:rPr>
          <w:rFonts w:hint="eastAsia" w:ascii="微软雅黑" w:hAnsi="微软雅黑" w:eastAsia="微软雅黑"/>
          <w:b w:val="0"/>
          <w:bCs/>
          <w:color w:val="000000"/>
          <w:sz w:val="28"/>
          <w:szCs w:val="21"/>
        </w:rPr>
      </w:pPr>
      <w:r>
        <w:rPr>
          <w:rFonts w:hint="eastAsia" w:ascii="微软雅黑" w:hAnsi="微软雅黑" w:eastAsia="微软雅黑"/>
          <w:b w:val="0"/>
          <w:bCs/>
          <w:color w:val="000000"/>
          <w:sz w:val="28"/>
          <w:szCs w:val="21"/>
        </w:rPr>
        <w:t>附件</w:t>
      </w:r>
      <w:r>
        <w:rPr>
          <w:rFonts w:hint="eastAsia" w:ascii="微软雅黑" w:hAnsi="微软雅黑" w:eastAsia="微软雅黑"/>
          <w:b w:val="0"/>
          <w:bCs/>
          <w:color w:val="000000"/>
          <w:sz w:val="28"/>
          <w:szCs w:val="21"/>
          <w:lang w:val="en-US" w:eastAsia="zh-CN"/>
        </w:rPr>
        <w:t>3</w:t>
      </w:r>
      <w:r>
        <w:rPr>
          <w:rFonts w:hint="eastAsia" w:ascii="微软雅黑" w:hAnsi="微软雅黑" w:eastAsia="微软雅黑"/>
          <w:b w:val="0"/>
          <w:bCs/>
          <w:color w:val="000000"/>
          <w:sz w:val="28"/>
          <w:szCs w:val="21"/>
        </w:rPr>
        <w:t>：</w:t>
      </w:r>
    </w:p>
    <w:p>
      <w:pPr>
        <w:pageBreakBefore w:val="0"/>
        <w:kinsoku/>
        <w:wordWrap/>
        <w:overflowPunct/>
        <w:topLinePunct w:val="0"/>
        <w:autoSpaceDE/>
        <w:autoSpaceDN/>
        <w:bidi w:val="0"/>
        <w:adjustRightInd w:val="0"/>
        <w:spacing w:line="24" w:lineRule="atLeast"/>
        <w:jc w:val="center"/>
        <w:rPr>
          <w:rFonts w:ascii="微软雅黑" w:hAnsi="微软雅黑" w:eastAsia="微软雅黑"/>
          <w:b/>
          <w:sz w:val="24"/>
        </w:rPr>
      </w:pPr>
      <w:r>
        <w:rPr>
          <w:rFonts w:hint="eastAsia" w:ascii="微软雅黑" w:hAnsi="微软雅黑" w:eastAsia="微软雅黑"/>
          <w:sz w:val="32"/>
          <w:szCs w:val="32"/>
        </w:rPr>
        <w:t>报价一览表</w:t>
      </w:r>
    </w:p>
    <w:tbl>
      <w:tblPr>
        <w:tblStyle w:val="15"/>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序号</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项目名称</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cs="宋体-方正超大字符集"/>
                <w:sz w:val="24"/>
              </w:rPr>
            </w:pPr>
            <w:r>
              <w:rPr>
                <w:rFonts w:hint="eastAsia" w:ascii="微软雅黑" w:hAnsi="微软雅黑" w:eastAsia="微软雅黑" w:cs="宋体-方正超大字符集"/>
                <w:sz w:val="24"/>
              </w:rPr>
              <w:t>单价（万元）</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金额（万元）</w:t>
            </w:r>
          </w:p>
        </w:tc>
        <w:tc>
          <w:tcPr>
            <w:tcW w:w="27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b/>
                <w:sz w:val="24"/>
              </w:rPr>
            </w:pPr>
            <w:r>
              <w:rPr>
                <w:rFonts w:hint="eastAsia" w:ascii="微软雅黑" w:hAnsi="微软雅黑" w:eastAsia="微软雅黑"/>
                <w:b/>
                <w:sz w:val="24"/>
              </w:rPr>
              <w:t>合计</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r>
    </w:tbl>
    <w:p>
      <w:pPr>
        <w:pageBreakBefore w:val="0"/>
        <w:kinsoku/>
        <w:wordWrap/>
        <w:overflowPunct/>
        <w:topLinePunct w:val="0"/>
        <w:autoSpaceDE/>
        <w:autoSpaceDN/>
        <w:bidi w:val="0"/>
        <w:spacing w:line="24" w:lineRule="atLeast"/>
        <w:ind w:firstLine="480"/>
        <w:jc w:val="left"/>
        <w:rPr>
          <w:rFonts w:ascii="微软雅黑" w:hAnsi="微软雅黑" w:eastAsia="微软雅黑"/>
          <w:sz w:val="24"/>
        </w:rPr>
      </w:pPr>
      <w:r>
        <w:rPr>
          <w:rFonts w:hint="eastAsia" w:ascii="微软雅黑" w:hAnsi="微软雅黑" w:eastAsia="微软雅黑"/>
          <w:sz w:val="24"/>
        </w:rPr>
        <w:t xml:space="preserve">注：1. 报价应是最终用户验收合格后的总价，包括设备运输、保险、代理、安装调试、培训、税费、系统集成费用和采购文件规定的其它费用。 </w:t>
      </w:r>
    </w:p>
    <w:p>
      <w:pPr>
        <w:pageBreakBefore w:val="0"/>
        <w:kinsoku/>
        <w:wordWrap/>
        <w:overflowPunct/>
        <w:topLinePunct w:val="0"/>
        <w:autoSpaceDE/>
        <w:autoSpaceDN/>
        <w:bidi w:val="0"/>
        <w:spacing w:line="24" w:lineRule="atLeast"/>
        <w:jc w:val="left"/>
        <w:rPr>
          <w:rFonts w:ascii="微软雅黑" w:hAnsi="微软雅黑" w:eastAsia="微软雅黑"/>
          <w:sz w:val="24"/>
        </w:rPr>
      </w:pPr>
      <w:r>
        <w:rPr>
          <w:rFonts w:hint="eastAsia" w:ascii="微软雅黑" w:hAnsi="微软雅黑" w:eastAsia="微软雅黑"/>
          <w:sz w:val="24"/>
        </w:rPr>
        <w:t xml:space="preserve">    2.其它服务：请供应商根据“网络设备维护要求”内容或公司提供的服务内容分项进行填写，并说明各项服务的名称、服务内容及价格。</w:t>
      </w:r>
    </w:p>
    <w:p>
      <w:pPr>
        <w:pageBreakBefore w:val="0"/>
        <w:kinsoku/>
        <w:wordWrap/>
        <w:overflowPunct/>
        <w:topLinePunct w:val="0"/>
        <w:autoSpaceDE/>
        <w:autoSpaceDN/>
        <w:bidi w:val="0"/>
        <w:spacing w:line="24" w:lineRule="atLeast"/>
        <w:jc w:val="left"/>
        <w:rPr>
          <w:rFonts w:ascii="微软雅黑" w:hAnsi="微软雅黑" w:eastAsia="微软雅黑"/>
          <w:sz w:val="24"/>
        </w:rPr>
      </w:pPr>
      <w:r>
        <w:rPr>
          <w:rFonts w:hint="eastAsia" w:ascii="微软雅黑" w:hAnsi="微软雅黑" w:eastAsia="微软雅黑"/>
          <w:sz w:val="24"/>
        </w:rPr>
        <w:t xml:space="preserve">    3.“品目及报价表”为多页的，每页均需由法定代表人或授权代表签字并盖投标人印章。</w:t>
      </w:r>
    </w:p>
    <w:p>
      <w:pPr>
        <w:pageBreakBefore w:val="0"/>
        <w:kinsoku/>
        <w:wordWrap/>
        <w:overflowPunct/>
        <w:topLinePunct w:val="0"/>
        <w:autoSpaceDE/>
        <w:autoSpaceDN/>
        <w:bidi w:val="0"/>
        <w:spacing w:line="24" w:lineRule="atLeast"/>
        <w:ind w:firstLine="480"/>
        <w:jc w:val="left"/>
        <w:rPr>
          <w:rFonts w:ascii="微软雅黑" w:hAnsi="微软雅黑" w:eastAsia="微软雅黑"/>
          <w:sz w:val="24"/>
        </w:rPr>
      </w:pPr>
      <w:r>
        <w:rPr>
          <w:rFonts w:hint="eastAsia" w:ascii="微软雅黑" w:hAnsi="微软雅黑" w:eastAsia="微软雅黑"/>
          <w:sz w:val="24"/>
        </w:rPr>
        <w:t>4.“品目及报价表”需单独密封。</w:t>
      </w:r>
    </w:p>
    <w:p>
      <w:pPr>
        <w:pageBreakBefore w:val="0"/>
        <w:kinsoku/>
        <w:wordWrap/>
        <w:overflowPunct/>
        <w:topLinePunct w:val="0"/>
        <w:autoSpaceDE/>
        <w:autoSpaceDN/>
        <w:bidi w:val="0"/>
        <w:adjustRightInd w:val="0"/>
        <w:spacing w:line="24" w:lineRule="atLeast"/>
        <w:jc w:val="left"/>
        <w:rPr>
          <w:rFonts w:ascii="微软雅黑" w:hAnsi="微软雅黑" w:eastAsia="微软雅黑"/>
          <w:sz w:val="24"/>
        </w:rPr>
      </w:pPr>
      <w:r>
        <w:rPr>
          <w:rFonts w:hint="eastAsia" w:ascii="微软雅黑" w:hAnsi="微软雅黑" w:eastAsia="微软雅黑"/>
          <w:sz w:val="24"/>
        </w:rPr>
        <w:t xml:space="preserve">    供应商名称（盖章）：        </w:t>
      </w:r>
    </w:p>
    <w:p>
      <w:pPr>
        <w:pageBreakBefore w:val="0"/>
        <w:kinsoku/>
        <w:wordWrap/>
        <w:overflowPunct/>
        <w:topLinePunct w:val="0"/>
        <w:autoSpaceDE/>
        <w:autoSpaceDN/>
        <w:bidi w:val="0"/>
        <w:adjustRightInd w:val="0"/>
        <w:spacing w:line="24" w:lineRule="atLeast"/>
        <w:jc w:val="left"/>
        <w:rPr>
          <w:rFonts w:ascii="微软雅黑" w:hAnsi="微软雅黑" w:eastAsia="微软雅黑"/>
          <w:sz w:val="24"/>
        </w:rPr>
      </w:pPr>
      <w:r>
        <w:rPr>
          <w:rFonts w:hint="eastAsia" w:ascii="微软雅黑" w:hAnsi="微软雅黑" w:eastAsia="微软雅黑"/>
          <w:sz w:val="24"/>
        </w:rPr>
        <w:t xml:space="preserve">    法定代表人或授权代表（签字）：                   </w:t>
      </w:r>
      <w:r>
        <w:rPr>
          <w:rFonts w:hint="eastAsia" w:ascii="微软雅黑" w:hAnsi="微软雅黑" w:eastAsia="微软雅黑"/>
          <w:bCs/>
          <w:sz w:val="24"/>
        </w:rPr>
        <w:t>联系方式：</w:t>
      </w:r>
      <w:r>
        <w:rPr>
          <w:rFonts w:hint="eastAsia" w:ascii="微软雅黑" w:hAnsi="微软雅黑" w:eastAsia="微软雅黑"/>
          <w:bCs/>
          <w:sz w:val="24"/>
          <w:u w:val="single"/>
        </w:rPr>
        <w:t xml:space="preserve">        </w:t>
      </w:r>
    </w:p>
    <w:p>
      <w:pPr>
        <w:pageBreakBefore w:val="0"/>
        <w:kinsoku/>
        <w:wordWrap/>
        <w:overflowPunct/>
        <w:topLinePunct w:val="0"/>
        <w:autoSpaceDE/>
        <w:autoSpaceDN/>
        <w:bidi w:val="0"/>
        <w:spacing w:line="24" w:lineRule="atLeast"/>
        <w:ind w:firstLine="480"/>
        <w:rPr>
          <w:rFonts w:ascii="微软雅黑" w:hAnsi="微软雅黑" w:eastAsia="微软雅黑"/>
          <w:sz w:val="24"/>
        </w:rPr>
      </w:pPr>
      <w:r>
        <w:rPr>
          <w:rFonts w:hint="eastAsia" w:ascii="微软雅黑" w:hAnsi="微软雅黑" w:eastAsia="微软雅黑"/>
          <w:sz w:val="24"/>
        </w:rPr>
        <w:t>日期：</w:t>
      </w:r>
    </w:p>
    <w:p>
      <w:pPr>
        <w:pageBreakBefore w:val="0"/>
        <w:kinsoku/>
        <w:wordWrap/>
        <w:overflowPunct/>
        <w:topLinePunct w:val="0"/>
        <w:autoSpaceDE/>
        <w:autoSpaceDN/>
        <w:bidi w:val="0"/>
        <w:spacing w:line="24" w:lineRule="atLeast"/>
        <w:jc w:val="center"/>
        <w:rPr>
          <w:rFonts w:ascii="微软雅黑" w:hAnsi="微软雅黑" w:eastAsia="微软雅黑"/>
          <w:b/>
          <w:sz w:val="28"/>
          <w:szCs w:val="28"/>
        </w:rPr>
      </w:pPr>
    </w:p>
    <w:p>
      <w:pPr>
        <w:pageBreakBefore w:val="0"/>
        <w:kinsoku/>
        <w:wordWrap/>
        <w:overflowPunct/>
        <w:topLinePunct w:val="0"/>
        <w:autoSpaceDE/>
        <w:autoSpaceDN/>
        <w:bidi w:val="0"/>
        <w:spacing w:line="24" w:lineRule="atLeast"/>
        <w:jc w:val="center"/>
        <w:rPr>
          <w:rFonts w:ascii="微软雅黑" w:hAnsi="微软雅黑" w:eastAsia="微软雅黑"/>
          <w:b/>
          <w:sz w:val="28"/>
          <w:szCs w:val="28"/>
        </w:rPr>
      </w:pPr>
    </w:p>
    <w:p>
      <w:pPr>
        <w:pageBreakBefore w:val="0"/>
        <w:kinsoku/>
        <w:wordWrap/>
        <w:overflowPunct/>
        <w:topLinePunct w:val="0"/>
        <w:autoSpaceDE/>
        <w:autoSpaceDN/>
        <w:bidi w:val="0"/>
        <w:spacing w:line="24" w:lineRule="atLeast"/>
        <w:jc w:val="center"/>
        <w:rPr>
          <w:rFonts w:ascii="微软雅黑" w:hAnsi="微软雅黑" w:eastAsia="微软雅黑"/>
          <w:bCs/>
          <w:sz w:val="32"/>
          <w:szCs w:val="32"/>
        </w:rPr>
      </w:pPr>
      <w:r>
        <w:rPr>
          <w:rFonts w:hint="eastAsia" w:ascii="微软雅黑" w:hAnsi="微软雅黑" w:eastAsia="微软雅黑"/>
          <w:sz w:val="32"/>
          <w:szCs w:val="32"/>
        </w:rPr>
        <w:t>规格型号、配置及偏离表</w:t>
      </w:r>
    </w:p>
    <w:tbl>
      <w:tblPr>
        <w:tblStyle w:val="15"/>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序号</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招标要求</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投标响应</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r>
    </w:tbl>
    <w:p>
      <w:pPr>
        <w:pageBreakBefore w:val="0"/>
        <w:kinsoku/>
        <w:wordWrap/>
        <w:overflowPunct/>
        <w:topLinePunct w:val="0"/>
        <w:autoSpaceDE/>
        <w:autoSpaceDN/>
        <w:bidi w:val="0"/>
        <w:spacing w:line="24" w:lineRule="atLeast"/>
        <w:ind w:firstLine="480" w:firstLineChars="200"/>
        <w:rPr>
          <w:rFonts w:ascii="微软雅黑" w:hAnsi="微软雅黑" w:eastAsia="微软雅黑"/>
          <w:b/>
          <w:sz w:val="24"/>
        </w:rPr>
      </w:pPr>
      <w:r>
        <w:rPr>
          <w:rFonts w:hint="eastAsia" w:ascii="微软雅黑" w:hAnsi="微软雅黑" w:eastAsia="微软雅黑"/>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pageBreakBefore w:val="0"/>
        <w:kinsoku/>
        <w:wordWrap/>
        <w:overflowPunct/>
        <w:topLinePunct w:val="0"/>
        <w:autoSpaceDE/>
        <w:autoSpaceDN/>
        <w:bidi w:val="0"/>
        <w:adjustRightInd w:val="0"/>
        <w:spacing w:line="24" w:lineRule="atLeast"/>
        <w:ind w:firstLine="420" w:firstLineChars="175"/>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pageBreakBefore w:val="0"/>
        <w:kinsoku/>
        <w:wordWrap/>
        <w:overflowPunct/>
        <w:topLinePunct w:val="0"/>
        <w:autoSpaceDE/>
        <w:autoSpaceDN/>
        <w:bidi w:val="0"/>
        <w:spacing w:line="24" w:lineRule="atLeast"/>
        <w:ind w:firstLine="360" w:firstLineChars="150"/>
        <w:jc w:val="left"/>
        <w:rPr>
          <w:rFonts w:ascii="微软雅黑" w:hAnsi="微软雅黑" w:eastAsia="微软雅黑"/>
          <w:bCs/>
          <w:sz w:val="24"/>
        </w:rPr>
      </w:pPr>
      <w:r>
        <w:rPr>
          <w:rFonts w:hint="eastAsia" w:ascii="微软雅黑" w:hAnsi="微软雅黑" w:eastAsia="微软雅黑"/>
          <w:bCs/>
          <w:sz w:val="24"/>
        </w:rPr>
        <w:t>日期:</w:t>
      </w:r>
    </w:p>
    <w:p>
      <w:pPr>
        <w:pageBreakBefore w:val="0"/>
        <w:kinsoku/>
        <w:wordWrap/>
        <w:overflowPunct/>
        <w:topLinePunct w:val="0"/>
        <w:autoSpaceDE/>
        <w:autoSpaceDN/>
        <w:bidi w:val="0"/>
        <w:spacing w:line="24" w:lineRule="atLeast"/>
        <w:jc w:val="center"/>
        <w:rPr>
          <w:rFonts w:ascii="微软雅黑" w:hAnsi="微软雅黑" w:eastAsia="微软雅黑"/>
          <w:b/>
          <w:bCs/>
          <w:sz w:val="24"/>
        </w:rPr>
      </w:pPr>
    </w:p>
    <w:p>
      <w:pPr>
        <w:pageBreakBefore w:val="0"/>
        <w:kinsoku/>
        <w:wordWrap/>
        <w:overflowPunct/>
        <w:topLinePunct w:val="0"/>
        <w:autoSpaceDE/>
        <w:autoSpaceDN/>
        <w:bidi w:val="0"/>
        <w:spacing w:line="24" w:lineRule="atLeast"/>
        <w:jc w:val="center"/>
        <w:rPr>
          <w:rFonts w:ascii="微软雅黑" w:hAnsi="微软雅黑" w:eastAsia="微软雅黑"/>
          <w:sz w:val="32"/>
          <w:szCs w:val="32"/>
        </w:rPr>
      </w:pPr>
      <w:r>
        <w:rPr>
          <w:rFonts w:hint="eastAsia" w:ascii="微软雅黑" w:hAnsi="微软雅黑" w:eastAsia="微软雅黑"/>
          <w:sz w:val="32"/>
          <w:szCs w:val="32"/>
        </w:rPr>
        <w:t>用户情况表</w:t>
      </w:r>
    </w:p>
    <w:p>
      <w:pPr>
        <w:pageBreakBefore w:val="0"/>
        <w:kinsoku/>
        <w:wordWrap/>
        <w:overflowPunct/>
        <w:topLinePunct w:val="0"/>
        <w:autoSpaceDE/>
        <w:autoSpaceDN/>
        <w:bidi w:val="0"/>
        <w:spacing w:line="24" w:lineRule="atLeast"/>
        <w:jc w:val="center"/>
        <w:rPr>
          <w:rFonts w:ascii="微软雅黑" w:hAnsi="微软雅黑" w:eastAsia="微软雅黑"/>
          <w:sz w:val="32"/>
          <w:szCs w:val="32"/>
        </w:rPr>
      </w:pPr>
    </w:p>
    <w:tbl>
      <w:tblPr>
        <w:tblStyle w:val="15"/>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省外三级医院单位用户</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用户名称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供货期限</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联系人及联系方式</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 w:lineRule="atLeast"/>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 w:lineRule="atLeast"/>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r>
              <w:rPr>
                <w:rFonts w:hint="eastAsia" w:ascii="微软雅黑" w:hAnsi="微软雅黑" w:eastAsia="微软雅黑"/>
                <w:sz w:val="24"/>
              </w:rPr>
              <w:t>省内三级医院用户</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 w:lineRule="atLeast"/>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 w:lineRule="atLeast"/>
              <w:jc w:val="center"/>
              <w:rPr>
                <w:rFonts w:ascii="微软雅黑" w:hAnsi="微软雅黑" w:eastAsia="微软雅黑"/>
                <w:sz w:val="24"/>
              </w:rPr>
            </w:pPr>
          </w:p>
        </w:tc>
      </w:tr>
    </w:tbl>
    <w:p>
      <w:pPr>
        <w:pageBreakBefore w:val="0"/>
        <w:kinsoku/>
        <w:wordWrap/>
        <w:overflowPunct/>
        <w:topLinePunct w:val="0"/>
        <w:autoSpaceDE/>
        <w:autoSpaceDN/>
        <w:bidi w:val="0"/>
        <w:spacing w:line="24" w:lineRule="atLeast"/>
        <w:rPr>
          <w:rFonts w:ascii="微软雅黑" w:hAnsi="微软雅黑" w:eastAsia="微软雅黑"/>
          <w:b/>
          <w:bCs/>
          <w:sz w:val="24"/>
        </w:rPr>
      </w:pPr>
    </w:p>
    <w:p>
      <w:pPr>
        <w:pageBreakBefore w:val="0"/>
        <w:kinsoku/>
        <w:wordWrap/>
        <w:overflowPunct/>
        <w:topLinePunct w:val="0"/>
        <w:autoSpaceDE/>
        <w:autoSpaceDN/>
        <w:bidi w:val="0"/>
        <w:spacing w:line="24" w:lineRule="atLeast"/>
        <w:ind w:firstLine="480" w:firstLineChars="200"/>
        <w:rPr>
          <w:rFonts w:ascii="微软雅黑" w:hAnsi="微软雅黑" w:eastAsia="微软雅黑"/>
          <w:sz w:val="24"/>
        </w:rPr>
      </w:pPr>
      <w:r>
        <w:rPr>
          <w:rFonts w:hint="eastAsia" w:ascii="微软雅黑" w:hAnsi="微软雅黑" w:eastAsia="微软雅黑"/>
          <w:sz w:val="24"/>
        </w:rPr>
        <w:t>说明：1、表中产品为近三年销售，用户仍在使用的货物；2、只填写本次投标产品型号或与本次投标产品相当的型号。</w:t>
      </w:r>
    </w:p>
    <w:p>
      <w:pPr>
        <w:pageBreakBefore w:val="0"/>
        <w:kinsoku/>
        <w:wordWrap/>
        <w:overflowPunct/>
        <w:topLinePunct w:val="0"/>
        <w:autoSpaceDE/>
        <w:autoSpaceDN/>
        <w:bidi w:val="0"/>
        <w:adjustRightInd w:val="0"/>
        <w:spacing w:line="24" w:lineRule="atLeast"/>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pageBreakBefore w:val="0"/>
        <w:kinsoku/>
        <w:wordWrap/>
        <w:overflowPunct/>
        <w:topLinePunct w:val="0"/>
        <w:autoSpaceDE/>
        <w:autoSpaceDN/>
        <w:bidi w:val="0"/>
        <w:spacing w:line="24" w:lineRule="atLeast"/>
        <w:ind w:firstLine="448" w:firstLineChars="187"/>
        <w:jc w:val="left"/>
        <w:rPr>
          <w:rFonts w:ascii="微软雅黑" w:hAnsi="微软雅黑" w:eastAsia="微软雅黑"/>
          <w:b/>
          <w:sz w:val="24"/>
        </w:rPr>
      </w:pPr>
      <w:r>
        <w:rPr>
          <w:rFonts w:hint="eastAsia" w:ascii="微软雅黑" w:hAnsi="微软雅黑" w:eastAsia="微软雅黑"/>
          <w:sz w:val="24"/>
        </w:rPr>
        <w:t>日期</w:t>
      </w:r>
      <w:r>
        <w:rPr>
          <w:rFonts w:hint="eastAsia" w:ascii="微软雅黑" w:hAnsi="微软雅黑" w:eastAsia="微软雅黑"/>
          <w:b/>
          <w:sz w:val="24"/>
        </w:rPr>
        <w:t>:</w:t>
      </w:r>
    </w:p>
    <w:p>
      <w:pPr>
        <w:pageBreakBefore w:val="0"/>
        <w:kinsoku/>
        <w:wordWrap/>
        <w:overflowPunct/>
        <w:topLinePunct w:val="0"/>
        <w:autoSpaceDE/>
        <w:autoSpaceDN/>
        <w:bidi w:val="0"/>
        <w:spacing w:line="24" w:lineRule="atLeast"/>
        <w:ind w:firstLine="449" w:firstLineChars="187"/>
        <w:jc w:val="left"/>
        <w:rPr>
          <w:rFonts w:ascii="微软雅黑" w:hAnsi="微软雅黑" w:eastAsia="微软雅黑"/>
          <w:b/>
          <w:sz w:val="24"/>
        </w:rPr>
      </w:pPr>
    </w:p>
    <w:p>
      <w:pPr>
        <w:pageBreakBefore w:val="0"/>
        <w:kinsoku/>
        <w:wordWrap/>
        <w:overflowPunct/>
        <w:topLinePunct w:val="0"/>
        <w:autoSpaceDE/>
        <w:autoSpaceDN/>
        <w:bidi w:val="0"/>
        <w:spacing w:line="24" w:lineRule="atLeast"/>
        <w:ind w:firstLine="449" w:firstLineChars="187"/>
        <w:jc w:val="left"/>
        <w:rPr>
          <w:rFonts w:ascii="微软雅黑" w:hAnsi="微软雅黑" w:eastAsia="微软雅黑"/>
          <w:b/>
          <w:sz w:val="24"/>
        </w:rPr>
      </w:pPr>
    </w:p>
    <w:p>
      <w:pPr>
        <w:pStyle w:val="4"/>
        <w:pageBreakBefore w:val="0"/>
        <w:tabs>
          <w:tab w:val="left" w:pos="540"/>
        </w:tabs>
        <w:kinsoku/>
        <w:wordWrap/>
        <w:overflowPunct/>
        <w:topLinePunct w:val="0"/>
        <w:autoSpaceDE/>
        <w:autoSpaceDN/>
        <w:bidi w:val="0"/>
        <w:spacing w:line="24" w:lineRule="atLeast"/>
        <w:ind w:left="720" w:hanging="720"/>
        <w:jc w:val="center"/>
        <w:rPr>
          <w:rFonts w:ascii="微软雅黑" w:hAnsi="微软雅黑" w:eastAsia="微软雅黑"/>
          <w:b w:val="0"/>
          <w:lang w:val="zh-CN"/>
        </w:rPr>
      </w:pPr>
      <w:bookmarkStart w:id="1" w:name="_Toc95295163"/>
      <w:bookmarkStart w:id="2" w:name="_Toc237343703"/>
      <w:bookmarkStart w:id="3" w:name="_Toc174767233"/>
      <w:r>
        <w:rPr>
          <w:rFonts w:hint="eastAsia" w:ascii="微软雅黑" w:hAnsi="微软雅黑" w:eastAsia="微软雅黑"/>
          <w:lang w:val="zh-CN"/>
        </w:rPr>
        <w:t>法定代表人身份授权书</w:t>
      </w:r>
    </w:p>
    <w:p>
      <w:pPr>
        <w:pageBreakBefore w:val="0"/>
        <w:tabs>
          <w:tab w:val="left" w:pos="6300"/>
        </w:tabs>
        <w:kinsoku/>
        <w:wordWrap/>
        <w:overflowPunct/>
        <w:topLinePunct w:val="0"/>
        <w:autoSpaceDE/>
        <w:autoSpaceDN/>
        <w:bidi w:val="0"/>
        <w:spacing w:line="24" w:lineRule="atLeast"/>
        <w:rPr>
          <w:rFonts w:ascii="微软雅黑" w:hAnsi="微软雅黑" w:eastAsia="微软雅黑"/>
          <w:sz w:val="24"/>
          <w:lang w:val="zh-CN"/>
        </w:rPr>
      </w:pPr>
      <w:r>
        <w:rPr>
          <w:rFonts w:ascii="微软雅黑" w:hAnsi="微软雅黑" w:eastAsia="微软雅黑"/>
          <w:sz w:val="24"/>
          <w:u w:val="single"/>
          <w:lang w:val="zh-CN"/>
        </w:rPr>
        <w:t xml:space="preserve">                                      </w:t>
      </w:r>
      <w:r>
        <w:rPr>
          <w:rFonts w:hint="eastAsia" w:ascii="微软雅黑" w:hAnsi="微软雅黑" w:eastAsia="微软雅黑"/>
          <w:sz w:val="24"/>
          <w:lang w:val="zh-CN"/>
        </w:rPr>
        <w:t>（采购单位名称）：</w:t>
      </w:r>
    </w:p>
    <w:p>
      <w:pPr>
        <w:pageBreakBefore w:val="0"/>
        <w:tabs>
          <w:tab w:val="left" w:pos="720"/>
          <w:tab w:val="left" w:pos="6300"/>
        </w:tabs>
        <w:kinsoku/>
        <w:wordWrap/>
        <w:overflowPunct/>
        <w:topLinePunct w:val="0"/>
        <w:autoSpaceDE/>
        <w:autoSpaceDN/>
        <w:bidi w:val="0"/>
        <w:spacing w:line="24" w:lineRule="atLeast"/>
        <w:ind w:firstLine="573"/>
        <w:rPr>
          <w:rFonts w:ascii="微软雅黑" w:hAnsi="微软雅黑" w:eastAsia="微软雅黑"/>
          <w:sz w:val="24"/>
          <w:u w:val="single"/>
          <w:lang w:val="zh-CN"/>
        </w:rPr>
      </w:pPr>
      <w:r>
        <w:rPr>
          <w:rFonts w:ascii="微软雅黑" w:hAnsi="微软雅黑" w:eastAsia="微软雅黑"/>
          <w:sz w:val="24"/>
          <w:lang w:val="zh-CN"/>
        </w:rPr>
        <w:t xml:space="preserve">   </w:t>
      </w:r>
      <w:r>
        <w:rPr>
          <w:rFonts w:hint="eastAsia" w:ascii="微软雅黑" w:hAnsi="微软雅黑" w:eastAsia="微软雅黑"/>
          <w:sz w:val="24"/>
          <w:lang w:val="zh-CN"/>
        </w:rPr>
        <w:t>本授权声明：</w:t>
      </w:r>
      <w:r>
        <w:rPr>
          <w:rFonts w:ascii="微软雅黑" w:hAnsi="微软雅黑" w:eastAsia="微软雅黑"/>
          <w:sz w:val="24"/>
          <w:u w:val="single"/>
          <w:lang w:val="zh-CN"/>
        </w:rPr>
        <w:t xml:space="preserve">                         </w:t>
      </w:r>
      <w:r>
        <w:rPr>
          <w:rFonts w:hint="eastAsia" w:ascii="微软雅黑" w:hAnsi="微软雅黑" w:eastAsia="微软雅黑"/>
          <w:sz w:val="24"/>
          <w:lang w:val="zh-CN"/>
        </w:rPr>
        <w:t>（投标人名称）</w:t>
      </w:r>
      <w:r>
        <w:rPr>
          <w:rFonts w:ascii="微软雅黑" w:hAnsi="微软雅黑" w:eastAsia="微软雅黑"/>
          <w:sz w:val="24"/>
          <w:u w:val="single"/>
          <w:lang w:val="zh-CN"/>
        </w:rPr>
        <w:t xml:space="preserve">           </w:t>
      </w:r>
    </w:p>
    <w:p>
      <w:pPr>
        <w:pageBreakBefore w:val="0"/>
        <w:tabs>
          <w:tab w:val="left" w:pos="720"/>
          <w:tab w:val="left" w:pos="6300"/>
        </w:tabs>
        <w:kinsoku/>
        <w:wordWrap/>
        <w:overflowPunct/>
        <w:topLinePunct w:val="0"/>
        <w:autoSpaceDE/>
        <w:autoSpaceDN/>
        <w:bidi w:val="0"/>
        <w:spacing w:line="24" w:lineRule="atLeast"/>
        <w:rPr>
          <w:rFonts w:ascii="微软雅黑" w:hAnsi="微软雅黑" w:eastAsia="微软雅黑"/>
          <w:sz w:val="24"/>
        </w:rPr>
      </w:pPr>
      <w:r>
        <w:rPr>
          <w:rFonts w:ascii="微软雅黑" w:hAnsi="微软雅黑" w:eastAsia="微软雅黑"/>
          <w:sz w:val="24"/>
          <w:u w:val="single"/>
          <w:lang w:val="zh-CN"/>
        </w:rPr>
        <w:t xml:space="preserve">       </w:t>
      </w:r>
      <w:r>
        <w:rPr>
          <w:rFonts w:hint="eastAsia" w:ascii="微软雅黑" w:hAnsi="微软雅黑" w:eastAsia="微软雅黑"/>
          <w:sz w:val="24"/>
          <w:lang w:val="zh-CN"/>
        </w:rPr>
        <w:t>（法定代表人姓名、职务）授权</w:t>
      </w:r>
      <w:r>
        <w:rPr>
          <w:rFonts w:ascii="微软雅黑" w:hAnsi="微软雅黑" w:eastAsia="微软雅黑"/>
          <w:sz w:val="24"/>
          <w:u w:val="single"/>
          <w:lang w:val="zh-CN"/>
        </w:rPr>
        <w:t xml:space="preserve">                          </w:t>
      </w:r>
      <w:r>
        <w:rPr>
          <w:rFonts w:hint="eastAsia" w:ascii="微软雅黑" w:hAnsi="微软雅黑" w:eastAsia="微软雅黑"/>
          <w:sz w:val="24"/>
          <w:lang w:val="zh-CN"/>
        </w:rPr>
        <w:t>（被授权人姓名、职务）为我方</w:t>
      </w:r>
      <w:r>
        <w:rPr>
          <w:rFonts w:ascii="微软雅黑" w:hAnsi="微软雅黑" w:eastAsia="微软雅黑"/>
          <w:sz w:val="24"/>
          <w:u w:val="single"/>
          <w:lang w:val="zh-CN"/>
        </w:rPr>
        <w:t xml:space="preserve"> </w:t>
      </w:r>
      <w:r>
        <w:rPr>
          <w:rFonts w:hint="eastAsia" w:ascii="微软雅黑" w:hAnsi="微软雅黑" w:eastAsia="微软雅黑"/>
          <w:sz w:val="24"/>
          <w:u w:val="single"/>
          <w:lang w:val="zh-CN"/>
        </w:rPr>
        <w:t>“</w:t>
      </w:r>
      <w:r>
        <w:rPr>
          <w:rFonts w:ascii="微软雅黑" w:hAnsi="微软雅黑" w:eastAsia="微软雅黑"/>
          <w:sz w:val="24"/>
          <w:u w:val="single"/>
          <w:lang w:val="zh-CN"/>
        </w:rPr>
        <w:t xml:space="preserve">                                          </w:t>
      </w:r>
      <w:r>
        <w:rPr>
          <w:rFonts w:hint="eastAsia" w:ascii="微软雅黑" w:hAnsi="微软雅黑" w:eastAsia="微软雅黑"/>
          <w:sz w:val="24"/>
          <w:u w:val="single"/>
          <w:lang w:val="zh-CN"/>
        </w:rPr>
        <w:t>”</w:t>
      </w:r>
      <w:r>
        <w:rPr>
          <w:rFonts w:hint="eastAsia" w:ascii="微软雅黑" w:hAnsi="微软雅黑" w:eastAsia="微软雅黑"/>
          <w:sz w:val="24"/>
          <w:lang w:val="zh-CN"/>
        </w:rPr>
        <w:t>项目投标活动的合法代表，以我方名义全权处理该项目有关投标、签订合同以及执行合同等一切事宜。</w:t>
      </w:r>
    </w:p>
    <w:p>
      <w:pPr>
        <w:pageBreakBefore w:val="0"/>
        <w:tabs>
          <w:tab w:val="left" w:pos="6300"/>
        </w:tabs>
        <w:kinsoku/>
        <w:wordWrap/>
        <w:overflowPunct/>
        <w:topLinePunct w:val="0"/>
        <w:autoSpaceDE/>
        <w:autoSpaceDN/>
        <w:bidi w:val="0"/>
        <w:spacing w:line="24" w:lineRule="atLeast"/>
        <w:ind w:firstLine="573"/>
        <w:rPr>
          <w:rFonts w:ascii="微软雅黑" w:hAnsi="微软雅黑" w:eastAsia="微软雅黑"/>
          <w:sz w:val="24"/>
        </w:rPr>
      </w:pPr>
      <w:r>
        <w:rPr>
          <w:rFonts w:hint="eastAsia" w:ascii="微软雅黑" w:hAnsi="微软雅黑" w:eastAsia="微软雅黑"/>
          <w:sz w:val="24"/>
        </w:rPr>
        <w:t>特此声明。</w:t>
      </w:r>
    </w:p>
    <w:p>
      <w:pPr>
        <w:pageBreakBefore w:val="0"/>
        <w:tabs>
          <w:tab w:val="left" w:pos="6300"/>
        </w:tabs>
        <w:kinsoku/>
        <w:wordWrap/>
        <w:overflowPunct/>
        <w:topLinePunct w:val="0"/>
        <w:autoSpaceDE/>
        <w:autoSpaceDN/>
        <w:bidi w:val="0"/>
        <w:spacing w:line="24" w:lineRule="atLeast"/>
        <w:ind w:firstLine="573"/>
        <w:rPr>
          <w:rFonts w:ascii="微软雅黑" w:hAnsi="微软雅黑" w:eastAsia="微软雅黑"/>
          <w:sz w:val="24"/>
        </w:rPr>
      </w:pPr>
      <w:r>
        <w:rPr>
          <w:rFonts w:hint="eastAsia" w:ascii="微软雅黑" w:hAnsi="微软雅黑" w:eastAsia="微软雅黑"/>
          <w:sz w:val="24"/>
        </w:rPr>
        <w:t>法定代表人签字：</w:t>
      </w:r>
    </w:p>
    <w:p>
      <w:pPr>
        <w:pageBreakBefore w:val="0"/>
        <w:tabs>
          <w:tab w:val="left" w:pos="6300"/>
        </w:tabs>
        <w:kinsoku/>
        <w:wordWrap/>
        <w:overflowPunct/>
        <w:topLinePunct w:val="0"/>
        <w:autoSpaceDE/>
        <w:autoSpaceDN/>
        <w:bidi w:val="0"/>
        <w:spacing w:line="24" w:lineRule="atLeast"/>
        <w:ind w:firstLine="573"/>
        <w:rPr>
          <w:rFonts w:ascii="微软雅黑" w:hAnsi="微软雅黑" w:eastAsia="微软雅黑"/>
          <w:sz w:val="24"/>
        </w:rPr>
      </w:pPr>
      <w:r>
        <w:rPr>
          <w:rFonts w:hint="eastAsia" w:ascii="微软雅黑" w:hAnsi="微软雅黑" w:eastAsia="微软雅黑"/>
          <w:sz w:val="24"/>
        </w:rPr>
        <w:t>授权代表签字：</w:t>
      </w:r>
    </w:p>
    <w:p>
      <w:pPr>
        <w:pageBreakBefore w:val="0"/>
        <w:kinsoku/>
        <w:wordWrap/>
        <w:overflowPunct/>
        <w:topLinePunct w:val="0"/>
        <w:autoSpaceDE/>
        <w:autoSpaceDN/>
        <w:bidi w:val="0"/>
        <w:spacing w:line="24" w:lineRule="atLeast"/>
        <w:ind w:firstLine="480"/>
        <w:rPr>
          <w:rFonts w:ascii="微软雅黑" w:hAnsi="微软雅黑" w:eastAsia="微软雅黑"/>
          <w:sz w:val="24"/>
        </w:rPr>
      </w:pPr>
      <w:r>
        <w:rPr>
          <w:rFonts w:hint="eastAsia" w:ascii="微软雅黑" w:hAnsi="微软雅黑" w:eastAsia="微软雅黑"/>
          <w:sz w:val="24"/>
        </w:rPr>
        <w:t>投标人名称：</w:t>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 xml:space="preserve">      （加盖公章）</w:t>
      </w:r>
    </w:p>
    <w:p>
      <w:pPr>
        <w:pageBreakBefore w:val="0"/>
        <w:kinsoku/>
        <w:wordWrap/>
        <w:overflowPunct/>
        <w:topLinePunct w:val="0"/>
        <w:autoSpaceDE/>
        <w:autoSpaceDN/>
        <w:bidi w:val="0"/>
        <w:spacing w:line="24" w:lineRule="atLeast"/>
        <w:ind w:firstLine="480"/>
        <w:rPr>
          <w:rFonts w:ascii="微软雅黑" w:hAnsi="微软雅黑" w:eastAsia="微软雅黑"/>
          <w:sz w:val="24"/>
        </w:rPr>
      </w:pPr>
      <w:r>
        <w:rPr>
          <w:rFonts w:hint="eastAsia" w:ascii="微软雅黑" w:hAnsi="微软雅黑" w:eastAsia="微软雅黑"/>
          <w:sz w:val="24"/>
        </w:rPr>
        <w:t>日期：</w:t>
      </w:r>
    </w:p>
    <w:p>
      <w:pPr>
        <w:pageBreakBefore w:val="0"/>
        <w:numPr>
          <w:ilvl w:val="0"/>
          <w:numId w:val="23"/>
        </w:numPr>
        <w:tabs>
          <w:tab w:val="left" w:pos="6300"/>
        </w:tabs>
        <w:kinsoku/>
        <w:wordWrap/>
        <w:overflowPunct/>
        <w:topLinePunct w:val="0"/>
        <w:autoSpaceDE/>
        <w:autoSpaceDN/>
        <w:bidi w:val="0"/>
        <w:spacing w:line="24" w:lineRule="atLeast"/>
        <w:rPr>
          <w:rFonts w:ascii="微软雅黑" w:hAnsi="微软雅黑" w:eastAsia="微软雅黑"/>
          <w:sz w:val="24"/>
        </w:rPr>
      </w:pPr>
      <w:r>
        <w:rPr>
          <w:rFonts w:hint="eastAsia" w:ascii="微软雅黑" w:hAnsi="微软雅黑" w:eastAsia="微软雅黑"/>
          <w:sz w:val="24"/>
        </w:rPr>
        <w:t>说明：上述证明文件附有法定代表人、被授权代表身份证复印件（加盖公章）时才能生效。</w:t>
      </w:r>
      <w:bookmarkEnd w:id="1"/>
      <w:bookmarkEnd w:id="2"/>
      <w:bookmarkEnd w:id="3"/>
    </w:p>
    <w:p>
      <w:pPr>
        <w:pageBreakBefore w:val="0"/>
        <w:tabs>
          <w:tab w:val="left" w:pos="480"/>
          <w:tab w:val="left" w:pos="6300"/>
        </w:tabs>
        <w:kinsoku/>
        <w:wordWrap/>
        <w:overflowPunct/>
        <w:topLinePunct w:val="0"/>
        <w:autoSpaceDE/>
        <w:autoSpaceDN/>
        <w:bidi w:val="0"/>
        <w:spacing w:line="24" w:lineRule="atLeast"/>
        <w:ind w:left="480"/>
        <w:rPr>
          <w:rFonts w:ascii="微软雅黑" w:hAnsi="微软雅黑" w:eastAsia="微软雅黑"/>
          <w:sz w:val="24"/>
        </w:rPr>
      </w:pPr>
    </w:p>
    <w:p>
      <w:pPr>
        <w:pageBreakBefore w:val="0"/>
        <w:tabs>
          <w:tab w:val="left" w:pos="6645"/>
        </w:tabs>
        <w:kinsoku/>
        <w:wordWrap/>
        <w:overflowPunct/>
        <w:topLinePunct w:val="0"/>
        <w:autoSpaceDE/>
        <w:autoSpaceDN/>
        <w:bidi w:val="0"/>
        <w:spacing w:line="24" w:lineRule="atLeast"/>
        <w:rPr>
          <w:rFonts w:hint="eastAsia" w:ascii="微软雅黑" w:hAnsi="微软雅黑" w:eastAsia="微软雅黑"/>
          <w:b w:val="0"/>
          <w:bCs/>
          <w:color w:val="000000"/>
          <w:sz w:val="28"/>
          <w:szCs w:val="21"/>
        </w:rPr>
      </w:pPr>
      <w:r>
        <w:rPr>
          <w:rFonts w:hint="eastAsia" w:ascii="微软雅黑" w:hAnsi="微软雅黑" w:eastAsia="微软雅黑"/>
          <w:sz w:val="32"/>
          <w:szCs w:val="32"/>
        </w:rPr>
        <w:br w:type="page"/>
      </w:r>
      <w:r>
        <w:rPr>
          <w:rFonts w:hint="eastAsia" w:ascii="微软雅黑" w:hAnsi="微软雅黑" w:eastAsia="微软雅黑"/>
          <w:b w:val="0"/>
          <w:bCs/>
          <w:color w:val="000000"/>
          <w:sz w:val="28"/>
          <w:szCs w:val="21"/>
        </w:rPr>
        <w:t>附件</w:t>
      </w:r>
      <w:r>
        <w:rPr>
          <w:rFonts w:hint="eastAsia" w:ascii="微软雅黑" w:hAnsi="微软雅黑" w:eastAsia="微软雅黑"/>
          <w:b w:val="0"/>
          <w:bCs/>
          <w:color w:val="000000"/>
          <w:sz w:val="28"/>
          <w:szCs w:val="21"/>
          <w:lang w:val="en-US" w:eastAsia="zh-CN"/>
        </w:rPr>
        <w:t>4</w:t>
      </w:r>
      <w:r>
        <w:rPr>
          <w:rFonts w:hint="eastAsia" w:ascii="微软雅黑" w:hAnsi="微软雅黑" w:eastAsia="微软雅黑"/>
          <w:b w:val="0"/>
          <w:bCs/>
          <w:color w:val="000000"/>
          <w:sz w:val="28"/>
          <w:szCs w:val="21"/>
        </w:rPr>
        <w:t>：</w:t>
      </w:r>
    </w:p>
    <w:p>
      <w:pPr>
        <w:pageBreakBefore w:val="0"/>
        <w:tabs>
          <w:tab w:val="left" w:pos="6645"/>
        </w:tabs>
        <w:kinsoku/>
        <w:wordWrap/>
        <w:overflowPunct/>
        <w:topLinePunct w:val="0"/>
        <w:autoSpaceDE/>
        <w:autoSpaceDN/>
        <w:bidi w:val="0"/>
        <w:spacing w:line="24" w:lineRule="atLeast"/>
        <w:jc w:val="center"/>
        <w:rPr>
          <w:rFonts w:ascii="微软雅黑" w:hAnsi="微软雅黑" w:eastAsia="微软雅黑"/>
          <w:sz w:val="32"/>
          <w:szCs w:val="32"/>
        </w:rPr>
      </w:pPr>
      <w:r>
        <w:rPr>
          <w:rFonts w:hint="eastAsia" w:ascii="微软雅黑" w:hAnsi="微软雅黑" w:eastAsia="微软雅黑"/>
          <w:sz w:val="32"/>
          <w:szCs w:val="32"/>
        </w:rPr>
        <w:t>反商业贿赂承诺书</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hint="eastAsia" w:ascii="微软雅黑" w:hAnsi="微软雅黑" w:eastAsia="微软雅黑"/>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hint="eastAsia" w:ascii="微软雅黑" w:hAnsi="微软雅黑" w:eastAsia="微软雅黑"/>
        </w:rPr>
        <w:t>一、</w:t>
      </w:r>
      <w:r>
        <w:rPr>
          <w:rFonts w:hint="eastAsia" w:ascii="微软雅黑" w:hAnsi="微软雅黑" w:eastAsia="微软雅黑"/>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hint="eastAsia" w:ascii="微软雅黑" w:hAnsi="微软雅黑" w:eastAsia="微软雅黑"/>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ascii="微软雅黑" w:hAnsi="微软雅黑" w:eastAsia="微软雅黑"/>
          <w:szCs w:val="21"/>
        </w:rPr>
        <w:t>6</w:t>
      </w:r>
      <w:r>
        <w:rPr>
          <w:rFonts w:hint="eastAsia" w:ascii="微软雅黑" w:hAnsi="微软雅黑" w:eastAsia="微软雅黑"/>
          <w:szCs w:val="21"/>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ascii="微软雅黑" w:hAnsi="微软雅黑" w:eastAsia="微软雅黑"/>
          <w:szCs w:val="21"/>
        </w:rPr>
        <w:t>7</w:t>
      </w:r>
      <w:r>
        <w:rPr>
          <w:rFonts w:hint="eastAsia" w:ascii="微软雅黑" w:hAnsi="微软雅黑" w:eastAsia="微软雅黑"/>
          <w:szCs w:val="21"/>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ascii="微软雅黑" w:hAnsi="微软雅黑" w:eastAsia="微软雅黑"/>
          <w:szCs w:val="21"/>
        </w:rPr>
        <w:t>8</w:t>
      </w:r>
      <w:r>
        <w:rPr>
          <w:rFonts w:hint="eastAsia" w:ascii="微软雅黑" w:hAnsi="微软雅黑" w:eastAsia="微软雅黑"/>
          <w:szCs w:val="21"/>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ascii="微软雅黑" w:hAnsi="微软雅黑" w:eastAsia="微软雅黑"/>
          <w:szCs w:val="21"/>
        </w:rPr>
        <w:t>9</w:t>
      </w:r>
      <w:r>
        <w:rPr>
          <w:rFonts w:hint="eastAsia" w:ascii="微软雅黑" w:hAnsi="微软雅黑" w:eastAsia="微软雅黑"/>
          <w:szCs w:val="21"/>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hint="eastAsia" w:ascii="微软雅黑" w:hAnsi="微软雅黑" w:eastAsia="微软雅黑"/>
          <w:szCs w:val="21"/>
        </w:rPr>
        <w:t>三、</w:t>
      </w:r>
      <w:r>
        <w:rPr>
          <w:rFonts w:ascii="微软雅黑" w:hAnsi="微软雅黑" w:eastAsia="微软雅黑"/>
          <w:szCs w:val="21"/>
        </w:rPr>
        <w:t xml:space="preserve"> </w:t>
      </w:r>
      <w:r>
        <w:rPr>
          <w:rFonts w:hint="eastAsia" w:ascii="微软雅黑" w:hAnsi="微软雅黑" w:eastAsia="微软雅黑"/>
          <w:szCs w:val="21"/>
        </w:rPr>
        <w:t>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hint="eastAsia" w:ascii="微软雅黑" w:hAnsi="微软雅黑" w:eastAsia="微软雅黑"/>
          <w:szCs w:val="21"/>
        </w:rPr>
        <w:t>四、</w:t>
      </w:r>
      <w:r>
        <w:rPr>
          <w:rFonts w:ascii="微软雅黑" w:hAnsi="微软雅黑" w:eastAsia="微软雅黑"/>
          <w:szCs w:val="21"/>
        </w:rPr>
        <w:t xml:space="preserve"> </w:t>
      </w:r>
      <w:r>
        <w:rPr>
          <w:rFonts w:hint="eastAsia" w:ascii="微软雅黑" w:hAnsi="微软雅黑" w:eastAsia="微软雅黑"/>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hint="eastAsia" w:ascii="微软雅黑" w:hAnsi="微软雅黑" w:eastAsia="微软雅黑"/>
          <w:szCs w:val="21"/>
        </w:rPr>
        <w:t>五、</w:t>
      </w:r>
      <w:r>
        <w:rPr>
          <w:rFonts w:ascii="微软雅黑" w:hAnsi="微软雅黑" w:eastAsia="微软雅黑"/>
          <w:szCs w:val="21"/>
        </w:rPr>
        <w:t xml:space="preserve"> </w:t>
      </w:r>
      <w:r>
        <w:rPr>
          <w:rFonts w:hint="eastAsia" w:ascii="微软雅黑" w:hAnsi="微软雅黑" w:eastAsia="微软雅黑"/>
          <w:szCs w:val="21"/>
        </w:rPr>
        <w:t>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hint="eastAsia" w:ascii="微软雅黑" w:hAnsi="微软雅黑" w:eastAsia="微软雅黑"/>
          <w:szCs w:val="21"/>
        </w:rPr>
        <w:t>六、</w:t>
      </w:r>
      <w:r>
        <w:rPr>
          <w:rFonts w:ascii="微软雅黑" w:hAnsi="微软雅黑" w:eastAsia="微软雅黑"/>
          <w:szCs w:val="21"/>
        </w:rPr>
        <w:t xml:space="preserve"> </w:t>
      </w:r>
      <w:r>
        <w:rPr>
          <w:rFonts w:hint="eastAsia" w:ascii="微软雅黑" w:hAnsi="微软雅黑" w:eastAsia="微软雅黑"/>
          <w:szCs w:val="21"/>
        </w:rPr>
        <w:t>采购物资名称：</w:t>
      </w:r>
      <w:r>
        <w:rPr>
          <w:rFonts w:ascii="微软雅黑" w:hAnsi="微软雅黑" w:eastAsia="微软雅黑"/>
          <w:szCs w:val="21"/>
        </w:rPr>
        <w:t xml:space="preserve">                                   </w:t>
      </w:r>
    </w:p>
    <w:p>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ascii="微软雅黑" w:hAnsi="微软雅黑" w:eastAsia="微软雅黑"/>
          <w:szCs w:val="21"/>
        </w:rPr>
      </w:pPr>
    </w:p>
    <w:p>
      <w:pPr>
        <w:keepNext w:val="0"/>
        <w:keepLines w:val="0"/>
        <w:pageBreakBefore w:val="0"/>
        <w:widowControl w:val="0"/>
        <w:kinsoku/>
        <w:wordWrap/>
        <w:overflowPunct/>
        <w:topLinePunct w:val="0"/>
        <w:autoSpaceDE/>
        <w:autoSpaceDN/>
        <w:bidi w:val="0"/>
        <w:adjustRightInd/>
        <w:snapToGrid w:val="0"/>
        <w:spacing w:line="24" w:lineRule="atLeast"/>
        <w:ind w:firstLine="560" w:firstLineChars="200"/>
        <w:textAlignment w:val="auto"/>
        <w:rPr>
          <w:rFonts w:ascii="微软雅黑" w:hAnsi="微软雅黑" w:eastAsia="微软雅黑"/>
          <w:szCs w:val="21"/>
        </w:rPr>
      </w:pPr>
      <w:r>
        <w:rPr>
          <w:rFonts w:hint="eastAsia" w:ascii="微软雅黑" w:hAnsi="微软雅黑" w:eastAsia="微软雅黑"/>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ascii="微软雅黑" w:hAnsi="微软雅黑" w:eastAsia="微软雅黑"/>
        </w:rPr>
      </w:pPr>
      <w:r>
        <w:rPr>
          <w:rFonts w:hint="eastAsia" w:ascii="微软雅黑" w:hAnsi="微软雅黑" w:eastAsia="微软雅黑"/>
          <w:szCs w:val="21"/>
        </w:rPr>
        <w:t>承诺企业名称（公章）</w:t>
      </w:r>
      <w:r>
        <w:rPr>
          <w:rFonts w:ascii="微软雅黑" w:hAnsi="微软雅黑" w:eastAsia="微软雅黑"/>
          <w:szCs w:val="21"/>
        </w:rPr>
        <w:t xml:space="preserve">                     </w:t>
      </w:r>
      <w:r>
        <w:rPr>
          <w:rFonts w:hint="eastAsia" w:ascii="微软雅黑" w:hAnsi="微软雅黑" w:eastAsia="微软雅黑"/>
          <w:szCs w:val="21"/>
        </w:rPr>
        <w:t>法人代表或委托代理人（承诺人）</w:t>
      </w:r>
      <w:r>
        <w:rPr>
          <w:rFonts w:ascii="微软雅黑" w:hAnsi="微软雅黑" w:eastAsia="微软雅黑"/>
          <w:szCs w:val="21"/>
        </w:rPr>
        <w:t xml:space="preserve">  </w:t>
      </w:r>
    </w:p>
    <w:p>
      <w:pPr>
        <w:pageBreakBefore w:val="0"/>
        <w:kinsoku/>
        <w:wordWrap/>
        <w:overflowPunct/>
        <w:topLinePunct w:val="0"/>
        <w:autoSpaceDE/>
        <w:autoSpaceDN/>
        <w:bidi w:val="0"/>
        <w:spacing w:line="24" w:lineRule="atLeast"/>
        <w:rPr>
          <w:rFonts w:ascii="微软雅黑" w:hAnsi="微软雅黑" w:eastAsia="微软雅黑"/>
          <w:sz w:val="24"/>
          <w:szCs w:val="24"/>
        </w:rPr>
      </w:pPr>
    </w:p>
    <w:p>
      <w:pPr>
        <w:pageBreakBefore w:val="0"/>
        <w:kinsoku/>
        <w:wordWrap/>
        <w:overflowPunct/>
        <w:topLinePunct w:val="0"/>
        <w:autoSpaceDE/>
        <w:autoSpaceDN/>
        <w:bidi w:val="0"/>
        <w:spacing w:line="24" w:lineRule="atLeast"/>
      </w:pPr>
    </w:p>
    <w:p>
      <w:pPr>
        <w:pageBreakBefore w:val="0"/>
        <w:kinsoku/>
        <w:wordWrap/>
        <w:overflowPunct/>
        <w:topLinePunct w:val="0"/>
        <w:autoSpaceDE/>
        <w:autoSpaceDN/>
        <w:bidi w:val="0"/>
        <w:spacing w:line="24" w:lineRule="atLeast"/>
        <w:rPr>
          <w:rFonts w:hint="default" w:ascii="宋体" w:hAnsi="宋体" w:cs="宋体"/>
          <w:sz w:val="28"/>
          <w:szCs w:val="28"/>
          <w:lang w:val="en-US" w:eastAsia="zh-CN"/>
        </w:rPr>
      </w:pPr>
    </w:p>
    <w:p>
      <w:pPr>
        <w:pStyle w:val="12"/>
        <w:pageBreakBefore w:val="0"/>
        <w:kinsoku/>
        <w:wordWrap/>
        <w:overflowPunct/>
        <w:topLinePunct w:val="0"/>
        <w:autoSpaceDE/>
        <w:autoSpaceDN/>
        <w:bidi w:val="0"/>
        <w:spacing w:line="24" w:lineRule="atLeast"/>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11343"/>
    <w:multiLevelType w:val="singleLevel"/>
    <w:tmpl w:val="83711343"/>
    <w:lvl w:ilvl="0" w:tentative="0">
      <w:start w:val="1"/>
      <w:numFmt w:val="decimal"/>
      <w:lvlText w:val="%1."/>
      <w:lvlJc w:val="left"/>
      <w:pPr>
        <w:ind w:left="425" w:hanging="425"/>
      </w:pPr>
      <w:rPr>
        <w:rFonts w:hint="default"/>
      </w:rPr>
    </w:lvl>
  </w:abstractNum>
  <w:abstractNum w:abstractNumId="1">
    <w:nsid w:val="83E2738A"/>
    <w:multiLevelType w:val="singleLevel"/>
    <w:tmpl w:val="83E2738A"/>
    <w:lvl w:ilvl="0" w:tentative="0">
      <w:start w:val="1"/>
      <w:numFmt w:val="decimal"/>
      <w:lvlText w:val="%1."/>
      <w:lvlJc w:val="left"/>
      <w:pPr>
        <w:ind w:left="425" w:hanging="425"/>
      </w:pPr>
      <w:rPr>
        <w:rFonts w:hint="default"/>
      </w:rPr>
    </w:lvl>
  </w:abstractNum>
  <w:abstractNum w:abstractNumId="2">
    <w:nsid w:val="8A10E5F4"/>
    <w:multiLevelType w:val="singleLevel"/>
    <w:tmpl w:val="8A10E5F4"/>
    <w:lvl w:ilvl="0" w:tentative="0">
      <w:start w:val="1"/>
      <w:numFmt w:val="decimal"/>
      <w:lvlText w:val="%1."/>
      <w:lvlJc w:val="left"/>
      <w:pPr>
        <w:ind w:left="425" w:hanging="425"/>
      </w:pPr>
      <w:rPr>
        <w:rFonts w:hint="default"/>
      </w:rPr>
    </w:lvl>
  </w:abstractNum>
  <w:abstractNum w:abstractNumId="3">
    <w:nsid w:val="92E44B7C"/>
    <w:multiLevelType w:val="singleLevel"/>
    <w:tmpl w:val="92E44B7C"/>
    <w:lvl w:ilvl="0" w:tentative="0">
      <w:start w:val="1"/>
      <w:numFmt w:val="decimal"/>
      <w:suff w:val="space"/>
      <w:lvlText w:val="%1."/>
      <w:lvlJc w:val="left"/>
    </w:lvl>
  </w:abstractNum>
  <w:abstractNum w:abstractNumId="4">
    <w:nsid w:val="9DFAFF07"/>
    <w:multiLevelType w:val="singleLevel"/>
    <w:tmpl w:val="9DFAFF07"/>
    <w:lvl w:ilvl="0" w:tentative="0">
      <w:start w:val="1"/>
      <w:numFmt w:val="decimal"/>
      <w:lvlText w:val="%1."/>
      <w:lvlJc w:val="left"/>
      <w:pPr>
        <w:ind w:left="425" w:hanging="425"/>
      </w:pPr>
      <w:rPr>
        <w:rFonts w:hint="default"/>
      </w:rPr>
    </w:lvl>
  </w:abstractNum>
  <w:abstractNum w:abstractNumId="5">
    <w:nsid w:val="A04CA843"/>
    <w:multiLevelType w:val="singleLevel"/>
    <w:tmpl w:val="A04CA843"/>
    <w:lvl w:ilvl="0" w:tentative="0">
      <w:start w:val="1"/>
      <w:numFmt w:val="decimal"/>
      <w:lvlText w:val="%1."/>
      <w:lvlJc w:val="left"/>
      <w:pPr>
        <w:ind w:left="425" w:hanging="425"/>
      </w:pPr>
      <w:rPr>
        <w:rFonts w:hint="default"/>
      </w:rPr>
    </w:lvl>
  </w:abstractNum>
  <w:abstractNum w:abstractNumId="6">
    <w:nsid w:val="AA069C98"/>
    <w:multiLevelType w:val="singleLevel"/>
    <w:tmpl w:val="AA069C98"/>
    <w:lvl w:ilvl="0" w:tentative="0">
      <w:start w:val="1"/>
      <w:numFmt w:val="decimal"/>
      <w:lvlText w:val="%1."/>
      <w:lvlJc w:val="left"/>
      <w:pPr>
        <w:ind w:left="705" w:hanging="425"/>
      </w:pPr>
      <w:rPr>
        <w:rFonts w:hint="default"/>
      </w:rPr>
    </w:lvl>
  </w:abstractNum>
  <w:abstractNum w:abstractNumId="7">
    <w:nsid w:val="B5F4A291"/>
    <w:multiLevelType w:val="singleLevel"/>
    <w:tmpl w:val="B5F4A291"/>
    <w:lvl w:ilvl="0" w:tentative="0">
      <w:start w:val="1"/>
      <w:numFmt w:val="decimal"/>
      <w:lvlText w:val="%1."/>
      <w:lvlJc w:val="left"/>
      <w:pPr>
        <w:ind w:left="425" w:hanging="425"/>
      </w:pPr>
      <w:rPr>
        <w:rFonts w:hint="default"/>
      </w:rPr>
    </w:lvl>
  </w:abstractNum>
  <w:abstractNum w:abstractNumId="8">
    <w:nsid w:val="C6ABD130"/>
    <w:multiLevelType w:val="singleLevel"/>
    <w:tmpl w:val="C6ABD130"/>
    <w:lvl w:ilvl="0" w:tentative="0">
      <w:start w:val="1"/>
      <w:numFmt w:val="decimal"/>
      <w:lvlText w:val="%1."/>
      <w:lvlJc w:val="left"/>
      <w:pPr>
        <w:ind w:left="425" w:hanging="425"/>
      </w:pPr>
      <w:rPr>
        <w:rFonts w:hint="default"/>
      </w:rPr>
    </w:lvl>
  </w:abstractNum>
  <w:abstractNum w:abstractNumId="9">
    <w:nsid w:val="CB8DED11"/>
    <w:multiLevelType w:val="singleLevel"/>
    <w:tmpl w:val="CB8DED11"/>
    <w:lvl w:ilvl="0" w:tentative="0">
      <w:start w:val="1"/>
      <w:numFmt w:val="decimal"/>
      <w:lvlText w:val="%1."/>
      <w:lvlJc w:val="left"/>
      <w:pPr>
        <w:ind w:left="425" w:hanging="425"/>
      </w:pPr>
      <w:rPr>
        <w:rFonts w:hint="default"/>
      </w:rPr>
    </w:lvl>
  </w:abstractNum>
  <w:abstractNum w:abstractNumId="10">
    <w:nsid w:val="D8C14859"/>
    <w:multiLevelType w:val="singleLevel"/>
    <w:tmpl w:val="D8C14859"/>
    <w:lvl w:ilvl="0" w:tentative="0">
      <w:start w:val="1"/>
      <w:numFmt w:val="decimal"/>
      <w:lvlText w:val="%1."/>
      <w:lvlJc w:val="left"/>
      <w:pPr>
        <w:tabs>
          <w:tab w:val="left" w:pos="312"/>
        </w:tabs>
      </w:pPr>
    </w:lvl>
  </w:abstractNum>
  <w:abstractNum w:abstractNumId="11">
    <w:nsid w:val="D8EFF73B"/>
    <w:multiLevelType w:val="singleLevel"/>
    <w:tmpl w:val="D8EFF73B"/>
    <w:lvl w:ilvl="0" w:tentative="0">
      <w:start w:val="1"/>
      <w:numFmt w:val="decimal"/>
      <w:suff w:val="space"/>
      <w:lvlText w:val="%1."/>
      <w:lvlJc w:val="left"/>
    </w:lvl>
  </w:abstractNum>
  <w:abstractNum w:abstractNumId="12">
    <w:nsid w:val="F63AF995"/>
    <w:multiLevelType w:val="singleLevel"/>
    <w:tmpl w:val="F63AF995"/>
    <w:lvl w:ilvl="0" w:tentative="0">
      <w:start w:val="1"/>
      <w:numFmt w:val="decimal"/>
      <w:lvlText w:val="%1."/>
      <w:lvlJc w:val="left"/>
      <w:pPr>
        <w:ind w:left="425" w:hanging="425"/>
      </w:pPr>
      <w:rPr>
        <w:rFonts w:hint="default"/>
      </w:rPr>
    </w:lvl>
  </w:abstractNum>
  <w:abstractNum w:abstractNumId="13">
    <w:nsid w:val="FAD84429"/>
    <w:multiLevelType w:val="singleLevel"/>
    <w:tmpl w:val="FAD84429"/>
    <w:lvl w:ilvl="0" w:tentative="0">
      <w:start w:val="1"/>
      <w:numFmt w:val="decimal"/>
      <w:lvlText w:val="%1."/>
      <w:lvlJc w:val="left"/>
      <w:pPr>
        <w:ind w:left="425" w:hanging="425"/>
      </w:pPr>
      <w:rPr>
        <w:rFonts w:hint="default"/>
      </w:rPr>
    </w:lvl>
  </w:abstractNum>
  <w:abstractNum w:abstractNumId="14">
    <w:nsid w:val="FC657466"/>
    <w:multiLevelType w:val="singleLevel"/>
    <w:tmpl w:val="FC657466"/>
    <w:lvl w:ilvl="0" w:tentative="0">
      <w:start w:val="1"/>
      <w:numFmt w:val="decimal"/>
      <w:lvlText w:val="%1."/>
      <w:lvlJc w:val="left"/>
      <w:pPr>
        <w:ind w:left="425" w:hanging="425"/>
      </w:pPr>
      <w:rPr>
        <w:rFonts w:hint="default"/>
      </w:rPr>
    </w:lvl>
  </w:abstractNum>
  <w:abstractNum w:abstractNumId="15">
    <w:nsid w:val="2C2C5247"/>
    <w:multiLevelType w:val="singleLevel"/>
    <w:tmpl w:val="2C2C5247"/>
    <w:lvl w:ilvl="0" w:tentative="0">
      <w:start w:val="1"/>
      <w:numFmt w:val="decimal"/>
      <w:lvlText w:val="%1."/>
      <w:lvlJc w:val="left"/>
      <w:pPr>
        <w:ind w:left="425" w:hanging="425"/>
      </w:pPr>
      <w:rPr>
        <w:rFonts w:hint="default"/>
      </w:rPr>
    </w:lvl>
  </w:abstractNum>
  <w:abstractNum w:abstractNumId="16">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17">
    <w:nsid w:val="38BFA342"/>
    <w:multiLevelType w:val="singleLevel"/>
    <w:tmpl w:val="38BFA342"/>
    <w:lvl w:ilvl="0" w:tentative="0">
      <w:start w:val="1"/>
      <w:numFmt w:val="decimal"/>
      <w:lvlText w:val="%1."/>
      <w:lvlJc w:val="left"/>
      <w:pPr>
        <w:ind w:left="425" w:hanging="425"/>
      </w:pPr>
      <w:rPr>
        <w:rFonts w:hint="default"/>
      </w:rPr>
    </w:lvl>
  </w:abstractNum>
  <w:abstractNum w:abstractNumId="18">
    <w:nsid w:val="42CDDA15"/>
    <w:multiLevelType w:val="singleLevel"/>
    <w:tmpl w:val="42CDDA15"/>
    <w:lvl w:ilvl="0" w:tentative="0">
      <w:start w:val="1"/>
      <w:numFmt w:val="decimal"/>
      <w:lvlText w:val="%1."/>
      <w:lvlJc w:val="left"/>
      <w:pPr>
        <w:ind w:left="425" w:hanging="425"/>
      </w:pPr>
      <w:rPr>
        <w:rFonts w:hint="default"/>
      </w:rPr>
    </w:lvl>
  </w:abstractNum>
  <w:abstractNum w:abstractNumId="19">
    <w:nsid w:val="434B25BC"/>
    <w:multiLevelType w:val="singleLevel"/>
    <w:tmpl w:val="434B25BC"/>
    <w:lvl w:ilvl="0" w:tentative="0">
      <w:start w:val="1"/>
      <w:numFmt w:val="decimal"/>
      <w:lvlText w:val="%1."/>
      <w:lvlJc w:val="left"/>
      <w:pPr>
        <w:ind w:left="425" w:hanging="425"/>
      </w:pPr>
      <w:rPr>
        <w:rFonts w:hint="default"/>
      </w:rPr>
    </w:lvl>
  </w:abstractNum>
  <w:abstractNum w:abstractNumId="20">
    <w:nsid w:val="4BC6EBCF"/>
    <w:multiLevelType w:val="singleLevel"/>
    <w:tmpl w:val="4BC6EBCF"/>
    <w:lvl w:ilvl="0" w:tentative="0">
      <w:start w:val="1"/>
      <w:numFmt w:val="decimal"/>
      <w:lvlText w:val="%1."/>
      <w:lvlJc w:val="left"/>
      <w:pPr>
        <w:ind w:left="425" w:hanging="425"/>
      </w:pPr>
      <w:rPr>
        <w:rFonts w:hint="default"/>
      </w:rPr>
    </w:lvl>
  </w:abstractNum>
  <w:abstractNum w:abstractNumId="21">
    <w:nsid w:val="65356D9B"/>
    <w:multiLevelType w:val="multilevel"/>
    <w:tmpl w:val="65356D9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2">
    <w:nsid w:val="7828FE6A"/>
    <w:multiLevelType w:val="singleLevel"/>
    <w:tmpl w:val="7828FE6A"/>
    <w:lvl w:ilvl="0" w:tentative="0">
      <w:start w:val="1"/>
      <w:numFmt w:val="decimal"/>
      <w:lvlText w:val="%1."/>
      <w:lvlJc w:val="left"/>
      <w:pPr>
        <w:ind w:left="425" w:hanging="425"/>
      </w:pPr>
      <w:rPr>
        <w:rFonts w:hint="default"/>
      </w:rPr>
    </w:lvl>
  </w:abstractNum>
  <w:num w:numId="1">
    <w:abstractNumId w:val="21"/>
  </w:num>
  <w:num w:numId="2">
    <w:abstractNumId w:val="6"/>
  </w:num>
  <w:num w:numId="3">
    <w:abstractNumId w:val="10"/>
  </w:num>
  <w:num w:numId="4">
    <w:abstractNumId w:val="19"/>
  </w:num>
  <w:num w:numId="5">
    <w:abstractNumId w:val="15"/>
  </w:num>
  <w:num w:numId="6">
    <w:abstractNumId w:val="4"/>
  </w:num>
  <w:num w:numId="7">
    <w:abstractNumId w:val="12"/>
  </w:num>
  <w:num w:numId="8">
    <w:abstractNumId w:val="20"/>
  </w:num>
  <w:num w:numId="9">
    <w:abstractNumId w:val="9"/>
  </w:num>
  <w:num w:numId="10">
    <w:abstractNumId w:val="1"/>
  </w:num>
  <w:num w:numId="11">
    <w:abstractNumId w:val="18"/>
  </w:num>
  <w:num w:numId="12">
    <w:abstractNumId w:val="2"/>
  </w:num>
  <w:num w:numId="13">
    <w:abstractNumId w:val="22"/>
  </w:num>
  <w:num w:numId="14">
    <w:abstractNumId w:val="13"/>
  </w:num>
  <w:num w:numId="15">
    <w:abstractNumId w:val="7"/>
  </w:num>
  <w:num w:numId="16">
    <w:abstractNumId w:val="0"/>
  </w:num>
  <w:num w:numId="17">
    <w:abstractNumId w:val="5"/>
  </w:num>
  <w:num w:numId="18">
    <w:abstractNumId w:val="17"/>
  </w:num>
  <w:num w:numId="19">
    <w:abstractNumId w:val="14"/>
  </w:num>
  <w:num w:numId="20">
    <w:abstractNumId w:val="3"/>
  </w:num>
  <w:num w:numId="21">
    <w:abstractNumId w:val="11"/>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97729"/>
    <w:rsid w:val="000E23B8"/>
    <w:rsid w:val="000E794A"/>
    <w:rsid w:val="00410F7C"/>
    <w:rsid w:val="00A27F2D"/>
    <w:rsid w:val="00EA42BF"/>
    <w:rsid w:val="01041326"/>
    <w:rsid w:val="012B36E6"/>
    <w:rsid w:val="013073B0"/>
    <w:rsid w:val="016A4B05"/>
    <w:rsid w:val="016C3879"/>
    <w:rsid w:val="01794130"/>
    <w:rsid w:val="019D2A56"/>
    <w:rsid w:val="01BD0663"/>
    <w:rsid w:val="01D64C8D"/>
    <w:rsid w:val="01E21D49"/>
    <w:rsid w:val="02167B4B"/>
    <w:rsid w:val="025F388A"/>
    <w:rsid w:val="02687B92"/>
    <w:rsid w:val="027316C3"/>
    <w:rsid w:val="02F33604"/>
    <w:rsid w:val="02F57E96"/>
    <w:rsid w:val="02FB7C40"/>
    <w:rsid w:val="03324ED3"/>
    <w:rsid w:val="03337A91"/>
    <w:rsid w:val="033C46BF"/>
    <w:rsid w:val="03570CCA"/>
    <w:rsid w:val="03B845E7"/>
    <w:rsid w:val="040D2A49"/>
    <w:rsid w:val="044A30F0"/>
    <w:rsid w:val="049D047D"/>
    <w:rsid w:val="04DF5E13"/>
    <w:rsid w:val="04E04808"/>
    <w:rsid w:val="04E2494E"/>
    <w:rsid w:val="04F84A22"/>
    <w:rsid w:val="050B45FA"/>
    <w:rsid w:val="055E4DE6"/>
    <w:rsid w:val="0594506A"/>
    <w:rsid w:val="059A7290"/>
    <w:rsid w:val="05C516FA"/>
    <w:rsid w:val="05CC214E"/>
    <w:rsid w:val="05D57D18"/>
    <w:rsid w:val="06594472"/>
    <w:rsid w:val="06EB0B08"/>
    <w:rsid w:val="07080A52"/>
    <w:rsid w:val="07110764"/>
    <w:rsid w:val="07482156"/>
    <w:rsid w:val="074834BD"/>
    <w:rsid w:val="07725E4C"/>
    <w:rsid w:val="077D7CE9"/>
    <w:rsid w:val="079C644C"/>
    <w:rsid w:val="07A4794D"/>
    <w:rsid w:val="07E90FD9"/>
    <w:rsid w:val="07EB483E"/>
    <w:rsid w:val="08474882"/>
    <w:rsid w:val="09001A45"/>
    <w:rsid w:val="094123D7"/>
    <w:rsid w:val="09857932"/>
    <w:rsid w:val="098B01DC"/>
    <w:rsid w:val="09A4558F"/>
    <w:rsid w:val="09D3006C"/>
    <w:rsid w:val="0A1840C5"/>
    <w:rsid w:val="0A3B7BFC"/>
    <w:rsid w:val="0A483181"/>
    <w:rsid w:val="0A780587"/>
    <w:rsid w:val="0A8F2114"/>
    <w:rsid w:val="0ABA2D19"/>
    <w:rsid w:val="0ADE41DC"/>
    <w:rsid w:val="0B75692B"/>
    <w:rsid w:val="0BBE0DFF"/>
    <w:rsid w:val="0C116A6D"/>
    <w:rsid w:val="0C1B779E"/>
    <w:rsid w:val="0C476BD2"/>
    <w:rsid w:val="0CB4643F"/>
    <w:rsid w:val="0CCC4BD2"/>
    <w:rsid w:val="0CD105EE"/>
    <w:rsid w:val="0CD52DB3"/>
    <w:rsid w:val="0D2E6EA5"/>
    <w:rsid w:val="0DC91E56"/>
    <w:rsid w:val="0E2E1DDB"/>
    <w:rsid w:val="0E74310F"/>
    <w:rsid w:val="0E900D28"/>
    <w:rsid w:val="0E9C256A"/>
    <w:rsid w:val="0EA344EA"/>
    <w:rsid w:val="0F367970"/>
    <w:rsid w:val="0F6060C6"/>
    <w:rsid w:val="0F736A3C"/>
    <w:rsid w:val="0F9B7C41"/>
    <w:rsid w:val="0FA52567"/>
    <w:rsid w:val="0FAC5152"/>
    <w:rsid w:val="0FC827AF"/>
    <w:rsid w:val="0FD13CB9"/>
    <w:rsid w:val="0FF91BC7"/>
    <w:rsid w:val="10840D56"/>
    <w:rsid w:val="108F34BE"/>
    <w:rsid w:val="10D07580"/>
    <w:rsid w:val="10D72D7B"/>
    <w:rsid w:val="11A12745"/>
    <w:rsid w:val="11D62212"/>
    <w:rsid w:val="11FF2D51"/>
    <w:rsid w:val="1205513C"/>
    <w:rsid w:val="1260229D"/>
    <w:rsid w:val="12D022E1"/>
    <w:rsid w:val="12DB0A84"/>
    <w:rsid w:val="13113C3E"/>
    <w:rsid w:val="134850E0"/>
    <w:rsid w:val="13641CA8"/>
    <w:rsid w:val="13B1460A"/>
    <w:rsid w:val="13CC22EA"/>
    <w:rsid w:val="13EA70C9"/>
    <w:rsid w:val="14B963F3"/>
    <w:rsid w:val="15642712"/>
    <w:rsid w:val="158765E6"/>
    <w:rsid w:val="15A254C0"/>
    <w:rsid w:val="15BB2174"/>
    <w:rsid w:val="15D71825"/>
    <w:rsid w:val="15DF0F27"/>
    <w:rsid w:val="1601195C"/>
    <w:rsid w:val="163F6FB6"/>
    <w:rsid w:val="164B1794"/>
    <w:rsid w:val="16814D45"/>
    <w:rsid w:val="168B7CC4"/>
    <w:rsid w:val="169617FB"/>
    <w:rsid w:val="16B823C0"/>
    <w:rsid w:val="16EF0366"/>
    <w:rsid w:val="16F572AB"/>
    <w:rsid w:val="173C7670"/>
    <w:rsid w:val="17AD73C8"/>
    <w:rsid w:val="17D24FB5"/>
    <w:rsid w:val="17E92672"/>
    <w:rsid w:val="17EC0D4F"/>
    <w:rsid w:val="18096E92"/>
    <w:rsid w:val="185D0BEC"/>
    <w:rsid w:val="188336FC"/>
    <w:rsid w:val="18BB137B"/>
    <w:rsid w:val="190B551D"/>
    <w:rsid w:val="19124870"/>
    <w:rsid w:val="1948289D"/>
    <w:rsid w:val="19ED35A2"/>
    <w:rsid w:val="19F24051"/>
    <w:rsid w:val="1A0437C9"/>
    <w:rsid w:val="1A3071BF"/>
    <w:rsid w:val="1A51668D"/>
    <w:rsid w:val="1B6719EC"/>
    <w:rsid w:val="1BD86A54"/>
    <w:rsid w:val="1C121824"/>
    <w:rsid w:val="1CEF703C"/>
    <w:rsid w:val="1D301FD7"/>
    <w:rsid w:val="1D497AB1"/>
    <w:rsid w:val="1D6811FA"/>
    <w:rsid w:val="1D735F60"/>
    <w:rsid w:val="1D7C7C46"/>
    <w:rsid w:val="1E2D77A5"/>
    <w:rsid w:val="1E354AED"/>
    <w:rsid w:val="1E5A2854"/>
    <w:rsid w:val="1EA66ADF"/>
    <w:rsid w:val="1F134A6F"/>
    <w:rsid w:val="1F472924"/>
    <w:rsid w:val="1F847785"/>
    <w:rsid w:val="201E5705"/>
    <w:rsid w:val="202E2C26"/>
    <w:rsid w:val="20881BCF"/>
    <w:rsid w:val="20B50075"/>
    <w:rsid w:val="20C83EA2"/>
    <w:rsid w:val="20F052F3"/>
    <w:rsid w:val="219C0FD7"/>
    <w:rsid w:val="21DE7F25"/>
    <w:rsid w:val="21FC7EF9"/>
    <w:rsid w:val="221D798C"/>
    <w:rsid w:val="22475AC6"/>
    <w:rsid w:val="2247678F"/>
    <w:rsid w:val="22851ECA"/>
    <w:rsid w:val="229E4B5F"/>
    <w:rsid w:val="22E42481"/>
    <w:rsid w:val="2318528F"/>
    <w:rsid w:val="239012AB"/>
    <w:rsid w:val="23B32A52"/>
    <w:rsid w:val="23BF2431"/>
    <w:rsid w:val="23E83CAC"/>
    <w:rsid w:val="23E9549F"/>
    <w:rsid w:val="24015121"/>
    <w:rsid w:val="241C4772"/>
    <w:rsid w:val="241F23D5"/>
    <w:rsid w:val="242A0559"/>
    <w:rsid w:val="248A0F52"/>
    <w:rsid w:val="248A11E7"/>
    <w:rsid w:val="24A657DA"/>
    <w:rsid w:val="24A91DEC"/>
    <w:rsid w:val="24B07943"/>
    <w:rsid w:val="24F81AC5"/>
    <w:rsid w:val="251F1323"/>
    <w:rsid w:val="252A27D8"/>
    <w:rsid w:val="257D01AB"/>
    <w:rsid w:val="258A13E9"/>
    <w:rsid w:val="258B2A23"/>
    <w:rsid w:val="26131353"/>
    <w:rsid w:val="26212AAE"/>
    <w:rsid w:val="26A103FE"/>
    <w:rsid w:val="273048EF"/>
    <w:rsid w:val="27423707"/>
    <w:rsid w:val="27851178"/>
    <w:rsid w:val="280F3E4B"/>
    <w:rsid w:val="28124D27"/>
    <w:rsid w:val="2814263E"/>
    <w:rsid w:val="28523E43"/>
    <w:rsid w:val="287A03A0"/>
    <w:rsid w:val="288D2844"/>
    <w:rsid w:val="28926F71"/>
    <w:rsid w:val="290B25B0"/>
    <w:rsid w:val="293473FA"/>
    <w:rsid w:val="294579F5"/>
    <w:rsid w:val="29677349"/>
    <w:rsid w:val="29DF5F6D"/>
    <w:rsid w:val="2A0A4C45"/>
    <w:rsid w:val="2A4C4218"/>
    <w:rsid w:val="2A5B1FB6"/>
    <w:rsid w:val="2B6A79D6"/>
    <w:rsid w:val="2B8D7D61"/>
    <w:rsid w:val="2B996587"/>
    <w:rsid w:val="2BB545CA"/>
    <w:rsid w:val="2D1C7159"/>
    <w:rsid w:val="2D7540B4"/>
    <w:rsid w:val="2DAE3C21"/>
    <w:rsid w:val="2E3B2A30"/>
    <w:rsid w:val="2E6B5B7B"/>
    <w:rsid w:val="2EF774FB"/>
    <w:rsid w:val="2FA97729"/>
    <w:rsid w:val="30182200"/>
    <w:rsid w:val="301E61B6"/>
    <w:rsid w:val="30372816"/>
    <w:rsid w:val="30A77DDD"/>
    <w:rsid w:val="30BB560E"/>
    <w:rsid w:val="30C011A6"/>
    <w:rsid w:val="30CF000E"/>
    <w:rsid w:val="30D82E1A"/>
    <w:rsid w:val="31025377"/>
    <w:rsid w:val="319B5FEB"/>
    <w:rsid w:val="31A20271"/>
    <w:rsid w:val="31BE0429"/>
    <w:rsid w:val="3247608F"/>
    <w:rsid w:val="325B5C39"/>
    <w:rsid w:val="32E719A4"/>
    <w:rsid w:val="3327640B"/>
    <w:rsid w:val="335E25A6"/>
    <w:rsid w:val="33CA77C6"/>
    <w:rsid w:val="33D65C7D"/>
    <w:rsid w:val="33FF2DAF"/>
    <w:rsid w:val="34052A0C"/>
    <w:rsid w:val="34762490"/>
    <w:rsid w:val="34BE7A78"/>
    <w:rsid w:val="352651DF"/>
    <w:rsid w:val="35BA257F"/>
    <w:rsid w:val="35DE7CA8"/>
    <w:rsid w:val="3611501D"/>
    <w:rsid w:val="366709BF"/>
    <w:rsid w:val="36C6391E"/>
    <w:rsid w:val="37240724"/>
    <w:rsid w:val="37247290"/>
    <w:rsid w:val="37D52AE8"/>
    <w:rsid w:val="38023C9B"/>
    <w:rsid w:val="3827252C"/>
    <w:rsid w:val="38737C7A"/>
    <w:rsid w:val="38C61841"/>
    <w:rsid w:val="38CF6175"/>
    <w:rsid w:val="38D806E4"/>
    <w:rsid w:val="39140A55"/>
    <w:rsid w:val="391860A9"/>
    <w:rsid w:val="392E6561"/>
    <w:rsid w:val="39914AA0"/>
    <w:rsid w:val="39A864B6"/>
    <w:rsid w:val="39C55872"/>
    <w:rsid w:val="39E04DAC"/>
    <w:rsid w:val="3A300EBD"/>
    <w:rsid w:val="3A3442AA"/>
    <w:rsid w:val="3AEC0053"/>
    <w:rsid w:val="3B0C603E"/>
    <w:rsid w:val="3B5D4A00"/>
    <w:rsid w:val="3C7131E4"/>
    <w:rsid w:val="3C9C36AE"/>
    <w:rsid w:val="3D201E1B"/>
    <w:rsid w:val="3D7F657D"/>
    <w:rsid w:val="3DA97C83"/>
    <w:rsid w:val="3E1171CF"/>
    <w:rsid w:val="3E1F320A"/>
    <w:rsid w:val="3E345B7E"/>
    <w:rsid w:val="3E5C6BC2"/>
    <w:rsid w:val="3E846283"/>
    <w:rsid w:val="3E8A59C1"/>
    <w:rsid w:val="3EE65ED1"/>
    <w:rsid w:val="3EF51FB7"/>
    <w:rsid w:val="3EFA42ED"/>
    <w:rsid w:val="3F0254E0"/>
    <w:rsid w:val="3F1B790D"/>
    <w:rsid w:val="3F201F1B"/>
    <w:rsid w:val="3F3A19DA"/>
    <w:rsid w:val="3F955396"/>
    <w:rsid w:val="3FAD7B50"/>
    <w:rsid w:val="3FBC7E7C"/>
    <w:rsid w:val="3FEF4A0B"/>
    <w:rsid w:val="40340B66"/>
    <w:rsid w:val="40765EF1"/>
    <w:rsid w:val="40786ABB"/>
    <w:rsid w:val="40825E84"/>
    <w:rsid w:val="4089784F"/>
    <w:rsid w:val="40E139B8"/>
    <w:rsid w:val="411D5380"/>
    <w:rsid w:val="4128175E"/>
    <w:rsid w:val="41427BA5"/>
    <w:rsid w:val="4162149D"/>
    <w:rsid w:val="4185084E"/>
    <w:rsid w:val="419532BA"/>
    <w:rsid w:val="41CE17CB"/>
    <w:rsid w:val="422B4351"/>
    <w:rsid w:val="4268247A"/>
    <w:rsid w:val="426F216C"/>
    <w:rsid w:val="42F23F75"/>
    <w:rsid w:val="433D5C43"/>
    <w:rsid w:val="433E204B"/>
    <w:rsid w:val="436C20EB"/>
    <w:rsid w:val="439815C9"/>
    <w:rsid w:val="43A26836"/>
    <w:rsid w:val="43EB2473"/>
    <w:rsid w:val="44183051"/>
    <w:rsid w:val="448C4923"/>
    <w:rsid w:val="455563EE"/>
    <w:rsid w:val="45976918"/>
    <w:rsid w:val="45A43E6F"/>
    <w:rsid w:val="46533ADA"/>
    <w:rsid w:val="469C5109"/>
    <w:rsid w:val="46BD2CD2"/>
    <w:rsid w:val="46C24B62"/>
    <w:rsid w:val="46E3169C"/>
    <w:rsid w:val="47242D83"/>
    <w:rsid w:val="475F2213"/>
    <w:rsid w:val="47881A1D"/>
    <w:rsid w:val="47A66469"/>
    <w:rsid w:val="47CA56A6"/>
    <w:rsid w:val="47E0636E"/>
    <w:rsid w:val="48286834"/>
    <w:rsid w:val="483D5755"/>
    <w:rsid w:val="4852279F"/>
    <w:rsid w:val="487D47B6"/>
    <w:rsid w:val="488D2008"/>
    <w:rsid w:val="48C65FA1"/>
    <w:rsid w:val="48DE25D2"/>
    <w:rsid w:val="48DE6CE4"/>
    <w:rsid w:val="48F0220B"/>
    <w:rsid w:val="490E0DCF"/>
    <w:rsid w:val="491A265E"/>
    <w:rsid w:val="492B6619"/>
    <w:rsid w:val="49893C4B"/>
    <w:rsid w:val="49D079E0"/>
    <w:rsid w:val="49D75368"/>
    <w:rsid w:val="4A8C5733"/>
    <w:rsid w:val="4AB01E83"/>
    <w:rsid w:val="4AB42432"/>
    <w:rsid w:val="4AFC350A"/>
    <w:rsid w:val="4B4429CF"/>
    <w:rsid w:val="4B4D27B2"/>
    <w:rsid w:val="4B632FD5"/>
    <w:rsid w:val="4B7B0759"/>
    <w:rsid w:val="4B9D4A5E"/>
    <w:rsid w:val="4BA40654"/>
    <w:rsid w:val="4BFC0ED2"/>
    <w:rsid w:val="4C224D88"/>
    <w:rsid w:val="4C265941"/>
    <w:rsid w:val="4CAF7707"/>
    <w:rsid w:val="4CDC5266"/>
    <w:rsid w:val="4CF315A5"/>
    <w:rsid w:val="4CF95B8D"/>
    <w:rsid w:val="4D234B07"/>
    <w:rsid w:val="4D4952BF"/>
    <w:rsid w:val="4ED43D23"/>
    <w:rsid w:val="4EE0713C"/>
    <w:rsid w:val="4F363407"/>
    <w:rsid w:val="4F7774ED"/>
    <w:rsid w:val="4FE83F40"/>
    <w:rsid w:val="500B4A50"/>
    <w:rsid w:val="50306F3F"/>
    <w:rsid w:val="509F0570"/>
    <w:rsid w:val="50C41534"/>
    <w:rsid w:val="50F149A8"/>
    <w:rsid w:val="50FD4F7D"/>
    <w:rsid w:val="51101E64"/>
    <w:rsid w:val="51427E46"/>
    <w:rsid w:val="5217538E"/>
    <w:rsid w:val="524F34E6"/>
    <w:rsid w:val="529A0DBF"/>
    <w:rsid w:val="529C157E"/>
    <w:rsid w:val="53206020"/>
    <w:rsid w:val="533322BD"/>
    <w:rsid w:val="53915F53"/>
    <w:rsid w:val="53A762D5"/>
    <w:rsid w:val="53AC6B5D"/>
    <w:rsid w:val="54255412"/>
    <w:rsid w:val="546A0DD0"/>
    <w:rsid w:val="54BF7F5D"/>
    <w:rsid w:val="55097E5C"/>
    <w:rsid w:val="550F65D2"/>
    <w:rsid w:val="552D5EAF"/>
    <w:rsid w:val="5566313E"/>
    <w:rsid w:val="558A6636"/>
    <w:rsid w:val="55AB3570"/>
    <w:rsid w:val="55B657CD"/>
    <w:rsid w:val="55F1008A"/>
    <w:rsid w:val="56412D66"/>
    <w:rsid w:val="566858C7"/>
    <w:rsid w:val="568A2F80"/>
    <w:rsid w:val="56CA0DE9"/>
    <w:rsid w:val="56CC3B92"/>
    <w:rsid w:val="570122AA"/>
    <w:rsid w:val="57687436"/>
    <w:rsid w:val="57A47D24"/>
    <w:rsid w:val="57D61349"/>
    <w:rsid w:val="57D81BAA"/>
    <w:rsid w:val="57E30A06"/>
    <w:rsid w:val="5810719A"/>
    <w:rsid w:val="58BC4BF8"/>
    <w:rsid w:val="58D91579"/>
    <w:rsid w:val="596146DD"/>
    <w:rsid w:val="5A56618B"/>
    <w:rsid w:val="5A5C0D28"/>
    <w:rsid w:val="5AD10A0E"/>
    <w:rsid w:val="5B883C5A"/>
    <w:rsid w:val="5B9A7D81"/>
    <w:rsid w:val="5BA26C0E"/>
    <w:rsid w:val="5BCF7ED6"/>
    <w:rsid w:val="5C09305D"/>
    <w:rsid w:val="5C0C69AB"/>
    <w:rsid w:val="5C0E43DB"/>
    <w:rsid w:val="5C102404"/>
    <w:rsid w:val="5C1C4243"/>
    <w:rsid w:val="5C35522D"/>
    <w:rsid w:val="5C3C1805"/>
    <w:rsid w:val="5C9C3E77"/>
    <w:rsid w:val="5CCC33F3"/>
    <w:rsid w:val="5D4067D9"/>
    <w:rsid w:val="5D5D114C"/>
    <w:rsid w:val="5D71218E"/>
    <w:rsid w:val="5DBB0F03"/>
    <w:rsid w:val="5E1B7D58"/>
    <w:rsid w:val="5E363687"/>
    <w:rsid w:val="5E4A5BF9"/>
    <w:rsid w:val="5E864F85"/>
    <w:rsid w:val="5ECC4F86"/>
    <w:rsid w:val="5F195916"/>
    <w:rsid w:val="5FCF3B94"/>
    <w:rsid w:val="5FE00033"/>
    <w:rsid w:val="601928F8"/>
    <w:rsid w:val="6024548D"/>
    <w:rsid w:val="604A6221"/>
    <w:rsid w:val="6085261C"/>
    <w:rsid w:val="611B69C6"/>
    <w:rsid w:val="61995CD6"/>
    <w:rsid w:val="61F55818"/>
    <w:rsid w:val="623B2665"/>
    <w:rsid w:val="623B58FE"/>
    <w:rsid w:val="62663ECE"/>
    <w:rsid w:val="628D6711"/>
    <w:rsid w:val="62B04976"/>
    <w:rsid w:val="631D149D"/>
    <w:rsid w:val="63213C5E"/>
    <w:rsid w:val="632B2311"/>
    <w:rsid w:val="63555676"/>
    <w:rsid w:val="636E4E9E"/>
    <w:rsid w:val="638170AD"/>
    <w:rsid w:val="638D3BBB"/>
    <w:rsid w:val="63F17E5D"/>
    <w:rsid w:val="646C2D18"/>
    <w:rsid w:val="648E76E8"/>
    <w:rsid w:val="64D05B5B"/>
    <w:rsid w:val="65115B3B"/>
    <w:rsid w:val="65135467"/>
    <w:rsid w:val="655E0FA4"/>
    <w:rsid w:val="65762A89"/>
    <w:rsid w:val="658656FD"/>
    <w:rsid w:val="65A32EBF"/>
    <w:rsid w:val="667B50FD"/>
    <w:rsid w:val="66844A70"/>
    <w:rsid w:val="668A4527"/>
    <w:rsid w:val="67251F61"/>
    <w:rsid w:val="6751428E"/>
    <w:rsid w:val="67C66CBD"/>
    <w:rsid w:val="681E22C8"/>
    <w:rsid w:val="682056EA"/>
    <w:rsid w:val="683D61B3"/>
    <w:rsid w:val="68633CA2"/>
    <w:rsid w:val="68C815C3"/>
    <w:rsid w:val="69086691"/>
    <w:rsid w:val="691C67C6"/>
    <w:rsid w:val="692674DB"/>
    <w:rsid w:val="69723E72"/>
    <w:rsid w:val="69AA77AD"/>
    <w:rsid w:val="69DA1138"/>
    <w:rsid w:val="69E30534"/>
    <w:rsid w:val="6A2A525E"/>
    <w:rsid w:val="6A4D5B17"/>
    <w:rsid w:val="6AB04BDC"/>
    <w:rsid w:val="6ABE1A11"/>
    <w:rsid w:val="6B0A50A7"/>
    <w:rsid w:val="6B0C6352"/>
    <w:rsid w:val="6B3F3BCE"/>
    <w:rsid w:val="6B3F473E"/>
    <w:rsid w:val="6B5F00EE"/>
    <w:rsid w:val="6B753A83"/>
    <w:rsid w:val="6C3335E5"/>
    <w:rsid w:val="6C337381"/>
    <w:rsid w:val="6C340B86"/>
    <w:rsid w:val="6C446EFA"/>
    <w:rsid w:val="6C6F1BA9"/>
    <w:rsid w:val="6CBF4E2A"/>
    <w:rsid w:val="6CC345A4"/>
    <w:rsid w:val="6D00504D"/>
    <w:rsid w:val="6D27357E"/>
    <w:rsid w:val="6D286848"/>
    <w:rsid w:val="6D3C22F3"/>
    <w:rsid w:val="6D4E6F7D"/>
    <w:rsid w:val="6D6313D2"/>
    <w:rsid w:val="6D77256A"/>
    <w:rsid w:val="6D8B6E28"/>
    <w:rsid w:val="6DF45184"/>
    <w:rsid w:val="6E03329F"/>
    <w:rsid w:val="6E0B0D5B"/>
    <w:rsid w:val="6E6F6B0F"/>
    <w:rsid w:val="6E9D4C75"/>
    <w:rsid w:val="6ED20C37"/>
    <w:rsid w:val="6EE8356F"/>
    <w:rsid w:val="6F174DC6"/>
    <w:rsid w:val="6F2774EA"/>
    <w:rsid w:val="6F3157E1"/>
    <w:rsid w:val="6F4A0DD4"/>
    <w:rsid w:val="6F547DC8"/>
    <w:rsid w:val="6F6E4088"/>
    <w:rsid w:val="6F964285"/>
    <w:rsid w:val="6FDB35CA"/>
    <w:rsid w:val="6FF83D5F"/>
    <w:rsid w:val="70046436"/>
    <w:rsid w:val="70187419"/>
    <w:rsid w:val="709952C7"/>
    <w:rsid w:val="70B36BD0"/>
    <w:rsid w:val="72012C00"/>
    <w:rsid w:val="720C2C04"/>
    <w:rsid w:val="72270B31"/>
    <w:rsid w:val="723504C8"/>
    <w:rsid w:val="72690E94"/>
    <w:rsid w:val="72A21C60"/>
    <w:rsid w:val="731022EB"/>
    <w:rsid w:val="734C5BFD"/>
    <w:rsid w:val="73985ED6"/>
    <w:rsid w:val="73F138B4"/>
    <w:rsid w:val="74087741"/>
    <w:rsid w:val="741C1223"/>
    <w:rsid w:val="74832A81"/>
    <w:rsid w:val="750724A3"/>
    <w:rsid w:val="75101E4D"/>
    <w:rsid w:val="75281D35"/>
    <w:rsid w:val="75A61EDF"/>
    <w:rsid w:val="76164F09"/>
    <w:rsid w:val="765742A0"/>
    <w:rsid w:val="76CE0BDB"/>
    <w:rsid w:val="772E4825"/>
    <w:rsid w:val="77411DB5"/>
    <w:rsid w:val="77970E0D"/>
    <w:rsid w:val="77C6008F"/>
    <w:rsid w:val="77DF3A9A"/>
    <w:rsid w:val="77FB49C8"/>
    <w:rsid w:val="78052734"/>
    <w:rsid w:val="78414B50"/>
    <w:rsid w:val="78731DF9"/>
    <w:rsid w:val="78A976EC"/>
    <w:rsid w:val="78B94E6E"/>
    <w:rsid w:val="78FC0B13"/>
    <w:rsid w:val="792C6BC5"/>
    <w:rsid w:val="79705FD2"/>
    <w:rsid w:val="79B76C5A"/>
    <w:rsid w:val="79CD507C"/>
    <w:rsid w:val="7A012C63"/>
    <w:rsid w:val="7A0D6383"/>
    <w:rsid w:val="7A6B6939"/>
    <w:rsid w:val="7A99074A"/>
    <w:rsid w:val="7AB274EC"/>
    <w:rsid w:val="7ADD6515"/>
    <w:rsid w:val="7B1B7D8A"/>
    <w:rsid w:val="7BE01A3F"/>
    <w:rsid w:val="7BF97BD7"/>
    <w:rsid w:val="7C6261BD"/>
    <w:rsid w:val="7C79281A"/>
    <w:rsid w:val="7CEC604C"/>
    <w:rsid w:val="7D234A09"/>
    <w:rsid w:val="7DE8363C"/>
    <w:rsid w:val="7E221005"/>
    <w:rsid w:val="7E6930C7"/>
    <w:rsid w:val="7EB45412"/>
    <w:rsid w:val="7EBD16F9"/>
    <w:rsid w:val="7F263A0B"/>
    <w:rsid w:val="7F363956"/>
    <w:rsid w:val="7F3E4637"/>
    <w:rsid w:val="7F4270AC"/>
    <w:rsid w:val="7F6746C4"/>
    <w:rsid w:val="7FDC3D80"/>
    <w:rsid w:val="7FFB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Times New Roman"/>
      <w:szCs w:val="24"/>
    </w:rPr>
  </w:style>
  <w:style w:type="paragraph" w:styleId="12">
    <w:name w:val="Normal Indent"/>
    <w:basedOn w:val="1"/>
    <w:qFormat/>
    <w:uiPriority w:val="0"/>
    <w:pPr>
      <w:adjustRightInd w:val="0"/>
      <w:snapToGrid w:val="0"/>
      <w:spacing w:line="360" w:lineRule="auto"/>
      <w:ind w:firstLine="420"/>
    </w:pPr>
    <w:rPr>
      <w:rFonts w:ascii="Times New Roman" w:hAnsi="Times New Roman" w:cs="Times New Roman"/>
    </w:rPr>
  </w:style>
  <w:style w:type="paragraph" w:styleId="13">
    <w:name w:val="Body Text Indent"/>
    <w:basedOn w:val="1"/>
    <w:qFormat/>
    <w:uiPriority w:val="99"/>
    <w:pPr>
      <w:spacing w:after="120"/>
      <w:ind w:left="420" w:leftChars="200"/>
    </w:pPr>
  </w:style>
  <w:style w:type="paragraph" w:styleId="14">
    <w:name w:val="Body Text First Indent 2"/>
    <w:basedOn w:val="13"/>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nt11"/>
    <w:basedOn w:val="17"/>
    <w:qFormat/>
    <w:uiPriority w:val="0"/>
    <w:rPr>
      <w:rFonts w:hint="eastAsia" w:ascii="宋体" w:hAnsi="宋体" w:eastAsia="宋体" w:cs="宋体"/>
      <w:color w:val="000000"/>
      <w:sz w:val="28"/>
      <w:szCs w:val="28"/>
      <w:u w:val="none"/>
    </w:rPr>
  </w:style>
  <w:style w:type="paragraph" w:styleId="19">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2021-08-24T11:17:00Z</dcterms:created>
  <dc:creator>WPS</dc:creator>
  <cp:lastModifiedBy>铁头</cp:lastModifiedBy>
  <dcterms:modified xsi:type="dcterms:W3CDTF">2021-12-02T07:41:33Z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492156A009C843F5AA1A228D7BABFE29</vt:lpwstr>
  </property>
</Properties>
</file>