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仿宋"/>
          <w:bCs/>
          <w:sz w:val="24"/>
        </w:rPr>
      </w:pPr>
      <w:r>
        <w:rPr>
          <w:rFonts w:hint="eastAsia" w:ascii="仿宋" w:hAnsi="仿宋" w:eastAsia="仿宋" w:cs="仿宋"/>
          <w:bCs/>
          <w:sz w:val="24"/>
        </w:rPr>
        <w:t>附件1</w:t>
      </w:r>
    </w:p>
    <w:p>
      <w:pPr>
        <w:spacing w:line="360" w:lineRule="auto"/>
        <w:jc w:val="center"/>
        <w:rPr>
          <w:rFonts w:ascii="仿宋" w:hAnsi="仿宋" w:eastAsia="仿宋" w:cs="仿宋"/>
          <w:b/>
          <w:bCs/>
          <w:sz w:val="24"/>
        </w:rPr>
      </w:pPr>
      <w:r>
        <w:rPr>
          <w:rFonts w:hint="eastAsia" w:ascii="仿宋" w:hAnsi="仿宋" w:eastAsia="仿宋" w:cs="仿宋"/>
          <w:b/>
          <w:bCs/>
          <w:sz w:val="24"/>
        </w:rPr>
        <w:t>四川省妇幼保健院天府院区放射防护评价及年检服务项目采购要求</w:t>
      </w:r>
    </w:p>
    <w:p>
      <w:pPr>
        <w:widowControl/>
        <w:spacing w:line="380" w:lineRule="atLeast"/>
        <w:outlineLvl w:val="1"/>
        <w:rPr>
          <w:rFonts w:ascii="Calibri" w:hAnsi="宋体" w:cs="宋体"/>
          <w:b/>
          <w:sz w:val="24"/>
        </w:rPr>
      </w:pPr>
      <w:bookmarkStart w:id="0" w:name="_Toc217446093"/>
      <w:bookmarkStart w:id="1" w:name="_Toc7890"/>
      <w:r>
        <w:rPr>
          <w:rFonts w:hint="eastAsia" w:hAnsi="宋体" w:cs="宋体"/>
          <w:b/>
          <w:sz w:val="24"/>
        </w:rPr>
        <w:t>一、服务要求</w:t>
      </w:r>
      <w:bookmarkEnd w:id="0"/>
      <w:bookmarkEnd w:id="1"/>
      <w:bookmarkStart w:id="2" w:name="_Toc217446094"/>
    </w:p>
    <w:bookmarkEnd w:id="2"/>
    <w:p>
      <w:pPr>
        <w:pStyle w:val="8"/>
        <w:numPr>
          <w:ilvl w:val="0"/>
          <w:numId w:val="1"/>
        </w:numPr>
        <w:spacing w:line="360" w:lineRule="auto"/>
        <w:rPr>
          <w:rFonts w:ascii="微软雅黑" w:hAnsi="微软雅黑" w:cs="微软雅黑"/>
        </w:rPr>
      </w:pPr>
      <w:r>
        <w:rPr>
          <w:rFonts w:hint="eastAsia" w:ascii="微软雅黑" w:hAnsi="微软雅黑" w:cs="微软雅黑"/>
        </w:rPr>
        <w:t>要求对我院放射诊疗设备进行系统、全面的评价和检测,根据卫生行政主管部门的要求出具报告，出具的报告应客观、真实、有效。</w:t>
      </w:r>
    </w:p>
    <w:p>
      <w:pPr>
        <w:pStyle w:val="8"/>
        <w:numPr>
          <w:ilvl w:val="0"/>
          <w:numId w:val="1"/>
        </w:numPr>
        <w:spacing w:line="360" w:lineRule="auto"/>
        <w:rPr>
          <w:rFonts w:ascii="微软雅黑" w:hAnsi="微软雅黑" w:cs="微软雅黑"/>
        </w:rPr>
      </w:pPr>
      <w:r>
        <w:rPr>
          <w:rFonts w:hint="eastAsia" w:ascii="微软雅黑" w:hAnsi="微软雅黑" w:cs="微软雅黑"/>
        </w:rPr>
        <w:t xml:space="preserve">报价包含单价和总价，以便根据当年监测具体设备情况据实结算。 </w:t>
      </w:r>
    </w:p>
    <w:p>
      <w:pPr>
        <w:pStyle w:val="8"/>
        <w:numPr>
          <w:ilvl w:val="0"/>
          <w:numId w:val="1"/>
        </w:numPr>
        <w:spacing w:line="360" w:lineRule="auto"/>
        <w:rPr>
          <w:rFonts w:ascii="微软雅黑" w:hAnsi="微软雅黑" w:cs="微软雅黑"/>
        </w:rPr>
      </w:pPr>
      <w:r>
        <w:rPr>
          <w:rFonts w:hint="eastAsia" w:ascii="微软雅黑" w:hAnsi="微软雅黑" w:cs="微软雅黑"/>
        </w:rPr>
        <w:t>报告编制：要求编制4份纸质报告。</w:t>
      </w:r>
    </w:p>
    <w:p>
      <w:pPr>
        <w:pStyle w:val="8"/>
        <w:numPr>
          <w:ilvl w:val="0"/>
          <w:numId w:val="1"/>
        </w:numPr>
        <w:spacing w:line="360" w:lineRule="auto"/>
        <w:rPr>
          <w:rFonts w:ascii="微软雅黑" w:hAnsi="微软雅黑" w:cs="微软雅黑"/>
        </w:rPr>
      </w:pPr>
      <w:r>
        <w:rPr>
          <w:rFonts w:hint="eastAsia" w:ascii="微软雅黑" w:hAnsi="微软雅黑" w:cs="微软雅黑"/>
        </w:rPr>
        <w:t>若有设备和机房检测不合格，要求编制实测数据报告（医院进行案例分析），复检合格后再次编制合格报告。</w:t>
      </w:r>
    </w:p>
    <w:p>
      <w:pPr>
        <w:pStyle w:val="8"/>
        <w:spacing w:line="360" w:lineRule="auto"/>
        <w:rPr>
          <w:rFonts w:ascii="微软雅黑" w:hAnsi="微软雅黑" w:cs="微软雅黑"/>
          <w:b/>
        </w:rPr>
      </w:pPr>
      <w:r>
        <w:rPr>
          <w:rFonts w:hint="eastAsia" w:ascii="微软雅黑" w:hAnsi="微软雅黑" w:cs="微软雅黑"/>
          <w:b/>
        </w:rPr>
        <w:t>以上要求为实质性要求，需比选申请人人以承诺函的方式做出响应。</w:t>
      </w:r>
    </w:p>
    <w:p>
      <w:pPr>
        <w:numPr>
          <w:ilvl w:val="0"/>
          <w:numId w:val="2"/>
        </w:numPr>
        <w:spacing w:line="360" w:lineRule="auto"/>
        <w:jc w:val="left"/>
        <w:rPr>
          <w:rFonts w:ascii="仿宋" w:hAnsi="仿宋" w:eastAsia="仿宋" w:cs="仿宋"/>
          <w:sz w:val="24"/>
        </w:rPr>
      </w:pPr>
      <w:r>
        <w:rPr>
          <w:rFonts w:hint="eastAsia" w:ascii="仿宋" w:hAnsi="仿宋" w:eastAsia="仿宋" w:cs="仿宋"/>
          <w:sz w:val="24"/>
        </w:rPr>
        <w:t>拟投入设备清单</w:t>
      </w:r>
    </w:p>
    <w:tbl>
      <w:tblPr>
        <w:tblStyle w:val="9"/>
        <w:tblW w:w="3906" w:type="dxa"/>
        <w:jc w:val="center"/>
        <w:tblLayout w:type="autofit"/>
        <w:tblCellMar>
          <w:top w:w="0" w:type="dxa"/>
          <w:left w:w="108" w:type="dxa"/>
          <w:bottom w:w="0" w:type="dxa"/>
          <w:right w:w="108" w:type="dxa"/>
        </w:tblCellMar>
      </w:tblPr>
      <w:tblGrid>
        <w:gridCol w:w="1192"/>
        <w:gridCol w:w="1686"/>
        <w:gridCol w:w="1028"/>
      </w:tblGrid>
      <w:tr>
        <w:tblPrEx>
          <w:tblCellMar>
            <w:top w:w="0" w:type="dxa"/>
            <w:left w:w="108" w:type="dxa"/>
            <w:bottom w:w="0" w:type="dxa"/>
            <w:right w:w="108" w:type="dxa"/>
          </w:tblCellMar>
        </w:tblPrEx>
        <w:trPr>
          <w:trHeight w:val="735" w:hRule="atLeast"/>
          <w:jc w:val="center"/>
        </w:trPr>
        <w:tc>
          <w:tcPr>
            <w:tcW w:w="11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序号</w:t>
            </w:r>
          </w:p>
        </w:tc>
        <w:tc>
          <w:tcPr>
            <w:tcW w:w="168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项目名称</w:t>
            </w:r>
          </w:p>
        </w:tc>
        <w:tc>
          <w:tcPr>
            <w:tcW w:w="102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数量</w:t>
            </w:r>
          </w:p>
        </w:tc>
      </w:tr>
      <w:tr>
        <w:tblPrEx>
          <w:tblCellMar>
            <w:top w:w="0" w:type="dxa"/>
            <w:left w:w="108" w:type="dxa"/>
            <w:bottom w:w="0" w:type="dxa"/>
            <w:right w:w="108" w:type="dxa"/>
          </w:tblCellMar>
        </w:tblPrEx>
        <w:trPr>
          <w:trHeight w:val="495" w:hRule="atLeast"/>
          <w:jc w:val="center"/>
        </w:trPr>
        <w:tc>
          <w:tcPr>
            <w:tcW w:w="1192"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1686" w:type="dxa"/>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DR</w:t>
            </w:r>
          </w:p>
        </w:tc>
        <w:tc>
          <w:tcPr>
            <w:tcW w:w="102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95" w:hRule="atLeast"/>
          <w:jc w:val="center"/>
        </w:trPr>
        <w:tc>
          <w:tcPr>
            <w:tcW w:w="1192"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1686" w:type="dxa"/>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CT</w:t>
            </w:r>
          </w:p>
        </w:tc>
        <w:tc>
          <w:tcPr>
            <w:tcW w:w="102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95" w:hRule="atLeast"/>
          <w:jc w:val="center"/>
        </w:trPr>
        <w:tc>
          <w:tcPr>
            <w:tcW w:w="1192"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1686" w:type="dxa"/>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胃肠机</w:t>
            </w:r>
          </w:p>
        </w:tc>
        <w:tc>
          <w:tcPr>
            <w:tcW w:w="102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95" w:hRule="atLeast"/>
          <w:jc w:val="center"/>
        </w:trPr>
        <w:tc>
          <w:tcPr>
            <w:tcW w:w="1192"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p>
        </w:tc>
        <w:tc>
          <w:tcPr>
            <w:tcW w:w="1686" w:type="dxa"/>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钼靶</w:t>
            </w:r>
          </w:p>
        </w:tc>
        <w:tc>
          <w:tcPr>
            <w:tcW w:w="102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95" w:hRule="atLeast"/>
          <w:jc w:val="center"/>
        </w:trPr>
        <w:tc>
          <w:tcPr>
            <w:tcW w:w="1192"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p>
        </w:tc>
        <w:tc>
          <w:tcPr>
            <w:tcW w:w="1686" w:type="dxa"/>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移动X射线机</w:t>
            </w:r>
          </w:p>
        </w:tc>
        <w:tc>
          <w:tcPr>
            <w:tcW w:w="102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95" w:hRule="atLeast"/>
          <w:jc w:val="center"/>
        </w:trPr>
        <w:tc>
          <w:tcPr>
            <w:tcW w:w="1192"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p>
        </w:tc>
        <w:tc>
          <w:tcPr>
            <w:tcW w:w="1686" w:type="dxa"/>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DSA</w:t>
            </w:r>
          </w:p>
        </w:tc>
        <w:tc>
          <w:tcPr>
            <w:tcW w:w="102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95" w:hRule="atLeast"/>
          <w:jc w:val="center"/>
        </w:trPr>
        <w:tc>
          <w:tcPr>
            <w:tcW w:w="1192"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7</w:t>
            </w:r>
          </w:p>
        </w:tc>
        <w:tc>
          <w:tcPr>
            <w:tcW w:w="1686" w:type="dxa"/>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X光机</w:t>
            </w:r>
          </w:p>
        </w:tc>
        <w:tc>
          <w:tcPr>
            <w:tcW w:w="102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95" w:hRule="atLeast"/>
          <w:jc w:val="center"/>
        </w:trPr>
        <w:tc>
          <w:tcPr>
            <w:tcW w:w="1192"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p>
        </w:tc>
        <w:tc>
          <w:tcPr>
            <w:tcW w:w="1686" w:type="dxa"/>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宋体" w:hAnsi="宋体" w:cs="宋体"/>
                <w:b/>
                <w:bCs/>
                <w:kern w:val="0"/>
                <w:sz w:val="24"/>
              </w:rPr>
              <w:t>合计</w:t>
            </w:r>
          </w:p>
        </w:tc>
        <w:tc>
          <w:tcPr>
            <w:tcW w:w="102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10</w:t>
            </w:r>
          </w:p>
        </w:tc>
      </w:tr>
    </w:tbl>
    <w:p>
      <w:pPr>
        <w:pStyle w:val="5"/>
      </w:pPr>
    </w:p>
    <w:p>
      <w:pPr>
        <w:widowControl/>
        <w:jc w:val="left"/>
        <w:rPr>
          <w:rFonts w:ascii="仿宋" w:hAnsi="仿宋" w:eastAsia="仿宋" w:cs="仿宋"/>
          <w:b/>
          <w:sz w:val="24"/>
        </w:rPr>
      </w:pPr>
      <w:r>
        <w:rPr>
          <w:rFonts w:ascii="仿宋" w:hAnsi="仿宋" w:eastAsia="仿宋" w:cs="仿宋"/>
          <w:b/>
          <w:sz w:val="24"/>
        </w:rPr>
        <w:br w:type="page"/>
      </w:r>
    </w:p>
    <w:p>
      <w:pPr>
        <w:tabs>
          <w:tab w:val="left" w:pos="6645"/>
        </w:tabs>
        <w:spacing w:line="360" w:lineRule="auto"/>
        <w:jc w:val="left"/>
        <w:rPr>
          <w:rFonts w:ascii="仿宋" w:hAnsi="仿宋" w:eastAsia="仿宋" w:cs="仿宋"/>
          <w:b/>
          <w:sz w:val="24"/>
        </w:rPr>
      </w:pPr>
      <w:r>
        <w:rPr>
          <w:rFonts w:hint="eastAsia" w:ascii="仿宋" w:hAnsi="仿宋" w:eastAsia="仿宋" w:cs="仿宋"/>
          <w:b/>
          <w:sz w:val="24"/>
        </w:rPr>
        <w:t>附件2主要表格</w:t>
      </w:r>
    </w:p>
    <w:p>
      <w:pPr>
        <w:pStyle w:val="3"/>
        <w:spacing w:line="360" w:lineRule="auto"/>
        <w:jc w:val="center"/>
        <w:rPr>
          <w:rFonts w:ascii="仿宋" w:hAnsi="仿宋" w:eastAsia="仿宋" w:cs="仿宋"/>
          <w:sz w:val="24"/>
          <w:szCs w:val="24"/>
        </w:rPr>
      </w:pPr>
      <w:r>
        <w:rPr>
          <w:rFonts w:hint="eastAsia" w:ascii="仿宋" w:hAnsi="仿宋" w:eastAsia="仿宋" w:cs="仿宋"/>
          <w:sz w:val="24"/>
          <w:szCs w:val="24"/>
        </w:rPr>
        <w:t>报价一览表</w:t>
      </w:r>
    </w:p>
    <w:p>
      <w:pPr>
        <w:spacing w:line="360" w:lineRule="auto"/>
        <w:rPr>
          <w:rFonts w:ascii="仿宋" w:hAnsi="仿宋" w:eastAsia="仿宋" w:cs="宋体"/>
          <w:b/>
          <w:sz w:val="24"/>
        </w:rPr>
      </w:pPr>
      <w:r>
        <w:rPr>
          <w:rFonts w:hint="eastAsia" w:ascii="仿宋" w:hAnsi="仿宋" w:eastAsia="仿宋" w:cs="宋体"/>
          <w:b/>
          <w:sz w:val="24"/>
        </w:rPr>
        <w:t>项目名称：</w:t>
      </w:r>
    </w:p>
    <w:tbl>
      <w:tblPr>
        <w:tblStyle w:val="9"/>
        <w:tblW w:w="10429" w:type="dxa"/>
        <w:jc w:val="center"/>
        <w:tblLayout w:type="autofit"/>
        <w:tblCellMar>
          <w:top w:w="0" w:type="dxa"/>
          <w:left w:w="108" w:type="dxa"/>
          <w:bottom w:w="0" w:type="dxa"/>
          <w:right w:w="108" w:type="dxa"/>
        </w:tblCellMar>
      </w:tblPr>
      <w:tblGrid>
        <w:gridCol w:w="1192"/>
        <w:gridCol w:w="1686"/>
        <w:gridCol w:w="1019"/>
        <w:gridCol w:w="1615"/>
        <w:gridCol w:w="1483"/>
        <w:gridCol w:w="1667"/>
        <w:gridCol w:w="1767"/>
      </w:tblGrid>
      <w:tr>
        <w:tblPrEx>
          <w:tblCellMar>
            <w:top w:w="0" w:type="dxa"/>
            <w:left w:w="108" w:type="dxa"/>
            <w:bottom w:w="0" w:type="dxa"/>
            <w:right w:w="108" w:type="dxa"/>
          </w:tblCellMar>
        </w:tblPrEx>
        <w:trPr>
          <w:trHeight w:val="735" w:hRule="atLeast"/>
          <w:jc w:val="center"/>
        </w:trPr>
        <w:tc>
          <w:tcPr>
            <w:tcW w:w="11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序号</w:t>
            </w:r>
          </w:p>
        </w:tc>
        <w:tc>
          <w:tcPr>
            <w:tcW w:w="168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项目名称</w:t>
            </w:r>
          </w:p>
        </w:tc>
        <w:tc>
          <w:tcPr>
            <w:tcW w:w="101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数量</w:t>
            </w:r>
          </w:p>
        </w:tc>
        <w:tc>
          <w:tcPr>
            <w:tcW w:w="161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预评（万元/台）</w:t>
            </w:r>
          </w:p>
        </w:tc>
        <w:tc>
          <w:tcPr>
            <w:tcW w:w="148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控评（万元/台）</w:t>
            </w:r>
          </w:p>
        </w:tc>
        <w:tc>
          <w:tcPr>
            <w:tcW w:w="166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放射卫生状态检测（万元/台）</w:t>
            </w:r>
          </w:p>
        </w:tc>
        <w:tc>
          <w:tcPr>
            <w:tcW w:w="176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辐射环境监测（万元/台）</w:t>
            </w:r>
          </w:p>
        </w:tc>
      </w:tr>
      <w:tr>
        <w:tblPrEx>
          <w:tblCellMar>
            <w:top w:w="0" w:type="dxa"/>
            <w:left w:w="108" w:type="dxa"/>
            <w:bottom w:w="0" w:type="dxa"/>
            <w:right w:w="108" w:type="dxa"/>
          </w:tblCellMar>
        </w:tblPrEx>
        <w:trPr>
          <w:trHeight w:val="495" w:hRule="atLeast"/>
          <w:jc w:val="center"/>
        </w:trPr>
        <w:tc>
          <w:tcPr>
            <w:tcW w:w="1192"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Ansi="宋体" w:cs="宋体"/>
                <w:sz w:val="24"/>
              </w:rPr>
            </w:pPr>
            <w:r>
              <w:rPr>
                <w:rFonts w:hint="eastAsia" w:hAnsi="宋体" w:cs="宋体"/>
                <w:sz w:val="24"/>
              </w:rPr>
              <w:t>1</w:t>
            </w:r>
          </w:p>
        </w:tc>
        <w:tc>
          <w:tcPr>
            <w:tcW w:w="1686" w:type="dxa"/>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Ⅲ类射线装置</w:t>
            </w:r>
          </w:p>
        </w:tc>
        <w:tc>
          <w:tcPr>
            <w:tcW w:w="101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Ansi="宋体" w:cs="宋体"/>
                <w:sz w:val="24"/>
              </w:rPr>
            </w:pPr>
            <w:r>
              <w:rPr>
                <w:rFonts w:hint="eastAsia" w:hAnsi="宋体" w:cs="宋体"/>
                <w:sz w:val="24"/>
              </w:rPr>
              <w:t>1</w:t>
            </w:r>
          </w:p>
        </w:tc>
        <w:tc>
          <w:tcPr>
            <w:tcW w:w="1615"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Ansi="宋体" w:cs="宋体"/>
                <w:sz w:val="24"/>
              </w:rPr>
            </w:pPr>
          </w:p>
        </w:tc>
        <w:tc>
          <w:tcPr>
            <w:tcW w:w="148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Ansi="宋体" w:cs="宋体"/>
                <w:sz w:val="24"/>
              </w:rPr>
            </w:pPr>
          </w:p>
        </w:tc>
        <w:tc>
          <w:tcPr>
            <w:tcW w:w="16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Ansi="宋体" w:cs="宋体"/>
                <w:sz w:val="24"/>
              </w:rPr>
            </w:pPr>
          </w:p>
        </w:tc>
        <w:tc>
          <w:tcPr>
            <w:tcW w:w="17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Ansi="宋体" w:cs="宋体"/>
                <w:sz w:val="24"/>
              </w:rPr>
            </w:pPr>
          </w:p>
        </w:tc>
      </w:tr>
      <w:tr>
        <w:tblPrEx>
          <w:tblCellMar>
            <w:top w:w="0" w:type="dxa"/>
            <w:left w:w="108" w:type="dxa"/>
            <w:bottom w:w="0" w:type="dxa"/>
            <w:right w:w="108" w:type="dxa"/>
          </w:tblCellMar>
        </w:tblPrEx>
        <w:trPr>
          <w:trHeight w:val="495" w:hRule="atLeast"/>
          <w:jc w:val="center"/>
        </w:trPr>
        <w:tc>
          <w:tcPr>
            <w:tcW w:w="1192"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Ansi="宋体" w:cs="宋体"/>
                <w:sz w:val="24"/>
              </w:rPr>
            </w:pPr>
            <w:r>
              <w:rPr>
                <w:rFonts w:hint="eastAsia" w:hAnsi="宋体" w:cs="宋体"/>
                <w:sz w:val="24"/>
              </w:rPr>
              <w:t>2</w:t>
            </w:r>
          </w:p>
        </w:tc>
        <w:tc>
          <w:tcPr>
            <w:tcW w:w="1686" w:type="dxa"/>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DSA</w:t>
            </w:r>
          </w:p>
        </w:tc>
        <w:tc>
          <w:tcPr>
            <w:tcW w:w="1019"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Ansi="宋体" w:cs="宋体"/>
                <w:sz w:val="24"/>
              </w:rPr>
            </w:pPr>
            <w:r>
              <w:rPr>
                <w:rFonts w:hint="eastAsia" w:hAnsi="宋体" w:cs="宋体"/>
                <w:sz w:val="24"/>
              </w:rPr>
              <w:t>1</w:t>
            </w:r>
          </w:p>
        </w:tc>
        <w:tc>
          <w:tcPr>
            <w:tcW w:w="1615"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Ansi="宋体" w:cs="宋体"/>
                <w:sz w:val="24"/>
              </w:rPr>
            </w:pPr>
          </w:p>
        </w:tc>
        <w:tc>
          <w:tcPr>
            <w:tcW w:w="148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Ansi="宋体" w:cs="宋体"/>
                <w:sz w:val="24"/>
              </w:rPr>
            </w:pPr>
          </w:p>
        </w:tc>
        <w:tc>
          <w:tcPr>
            <w:tcW w:w="16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Ansi="宋体" w:cs="宋体"/>
                <w:sz w:val="24"/>
              </w:rPr>
            </w:pPr>
          </w:p>
        </w:tc>
        <w:tc>
          <w:tcPr>
            <w:tcW w:w="17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Ansi="宋体" w:cs="宋体"/>
                <w:sz w:val="24"/>
              </w:rPr>
            </w:pPr>
          </w:p>
        </w:tc>
      </w:tr>
      <w:tr>
        <w:tblPrEx>
          <w:tblCellMar>
            <w:top w:w="0" w:type="dxa"/>
            <w:left w:w="108" w:type="dxa"/>
            <w:bottom w:w="0" w:type="dxa"/>
            <w:right w:w="108" w:type="dxa"/>
          </w:tblCellMar>
        </w:tblPrEx>
        <w:trPr>
          <w:trHeight w:val="495" w:hRule="atLeast"/>
          <w:jc w:val="center"/>
        </w:trPr>
        <w:tc>
          <w:tcPr>
            <w:tcW w:w="10429" w:type="dxa"/>
            <w:gridSpan w:val="7"/>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Ansi="宋体" w:cs="宋体"/>
                <w:sz w:val="24"/>
              </w:rPr>
            </w:pPr>
            <w:r>
              <w:rPr>
                <w:rFonts w:hint="eastAsia" w:hAnsi="宋体" w:cs="宋体"/>
                <w:sz w:val="24"/>
              </w:rPr>
              <w:t>共计：    万元（大写：           ）</w:t>
            </w:r>
          </w:p>
        </w:tc>
      </w:tr>
      <w:tr>
        <w:tblPrEx>
          <w:tblCellMar>
            <w:top w:w="0" w:type="dxa"/>
            <w:left w:w="108" w:type="dxa"/>
            <w:bottom w:w="0" w:type="dxa"/>
            <w:right w:w="108" w:type="dxa"/>
          </w:tblCellMar>
        </w:tblPrEx>
        <w:trPr>
          <w:trHeight w:val="495" w:hRule="atLeast"/>
          <w:jc w:val="center"/>
        </w:trPr>
        <w:tc>
          <w:tcPr>
            <w:tcW w:w="10429" w:type="dxa"/>
            <w:gridSpan w:val="7"/>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Ansi="宋体" w:cs="宋体"/>
                <w:szCs w:val="21"/>
              </w:rPr>
            </w:pPr>
            <w:r>
              <w:rPr>
                <w:rFonts w:hint="eastAsia" w:hAnsi="宋体" w:cs="宋体"/>
                <w:szCs w:val="21"/>
              </w:rPr>
              <w:t>Ⅲ类射线装置包含：CT、DR、胃肠机、钼靶、口腔CT、全景机、牙片机、骨密度仪、移动X射线机等</w:t>
            </w:r>
          </w:p>
        </w:tc>
      </w:tr>
    </w:tbl>
    <w:p>
      <w:pPr>
        <w:spacing w:line="360" w:lineRule="auto"/>
        <w:rPr>
          <w:rFonts w:ascii="仿宋" w:hAnsi="仿宋" w:eastAsia="仿宋" w:cs="宋体"/>
          <w:b/>
          <w:sz w:val="24"/>
        </w:rPr>
      </w:pPr>
      <w:r>
        <w:rPr>
          <w:rFonts w:hint="eastAsia" w:ascii="仿宋" w:hAnsi="仿宋" w:eastAsia="仿宋" w:cs="宋体"/>
          <w:b/>
          <w:sz w:val="24"/>
        </w:rPr>
        <w:t xml:space="preserve">        </w:t>
      </w:r>
    </w:p>
    <w:p>
      <w:pPr>
        <w:adjustRightInd w:val="0"/>
        <w:snapToGrid w:val="0"/>
        <w:spacing w:line="360" w:lineRule="auto"/>
        <w:rPr>
          <w:rFonts w:ascii="仿宋" w:hAnsi="仿宋" w:eastAsia="仿宋" w:cs="宋体"/>
          <w:b/>
          <w:sz w:val="24"/>
        </w:rPr>
      </w:pPr>
    </w:p>
    <w:p>
      <w:pPr>
        <w:adjustRightInd w:val="0"/>
        <w:snapToGrid w:val="0"/>
        <w:spacing w:line="360" w:lineRule="auto"/>
        <w:rPr>
          <w:rFonts w:ascii="仿宋" w:hAnsi="仿宋" w:eastAsia="仿宋" w:cs="宋体"/>
          <w:bCs/>
          <w:sz w:val="22"/>
          <w:szCs w:val="22"/>
        </w:rPr>
      </w:pPr>
      <w:r>
        <w:rPr>
          <w:rFonts w:hint="eastAsia" w:ascii="仿宋" w:hAnsi="仿宋" w:eastAsia="仿宋" w:cs="宋体"/>
          <w:bCs/>
          <w:sz w:val="22"/>
          <w:szCs w:val="22"/>
        </w:rPr>
        <w:t xml:space="preserve">    注：1. 报价应是最终用户验收合格后的总价，报价包含所有服务内容包括但不限于包含人工、管理、材料及税收等完成项目的所有费用。</w:t>
      </w:r>
    </w:p>
    <w:p>
      <w:pPr>
        <w:adjustRightInd w:val="0"/>
        <w:snapToGrid w:val="0"/>
        <w:spacing w:line="360" w:lineRule="auto"/>
        <w:ind w:firstLine="450"/>
        <w:rPr>
          <w:rFonts w:hint="eastAsia" w:ascii="仿宋" w:hAnsi="仿宋" w:eastAsia="仿宋" w:cs="宋体"/>
          <w:bCs/>
          <w:sz w:val="22"/>
          <w:szCs w:val="22"/>
        </w:rPr>
      </w:pPr>
      <w:r>
        <w:rPr>
          <w:rFonts w:hint="eastAsia" w:ascii="仿宋" w:hAnsi="仿宋" w:eastAsia="仿宋" w:cs="宋体"/>
          <w:bCs/>
          <w:sz w:val="22"/>
          <w:szCs w:val="22"/>
        </w:rPr>
        <w:t>2. 以上表格如不能完全表达清楚</w:t>
      </w:r>
      <w:r>
        <w:rPr>
          <w:rFonts w:hint="eastAsia" w:ascii="仿宋" w:hAnsi="仿宋" w:eastAsia="仿宋" w:cs="仿宋"/>
          <w:sz w:val="24"/>
        </w:rPr>
        <w:t>比选申请人</w:t>
      </w:r>
      <w:r>
        <w:rPr>
          <w:rFonts w:hint="eastAsia" w:ascii="仿宋" w:hAnsi="仿宋" w:eastAsia="仿宋" w:cs="宋体"/>
          <w:bCs/>
          <w:sz w:val="22"/>
          <w:szCs w:val="22"/>
        </w:rPr>
        <w:t>认为必要的费用明细，</w:t>
      </w:r>
      <w:r>
        <w:rPr>
          <w:rFonts w:hint="eastAsia" w:ascii="仿宋" w:hAnsi="仿宋" w:eastAsia="仿宋" w:cs="仿宋"/>
          <w:sz w:val="24"/>
        </w:rPr>
        <w:t>比选申请人</w:t>
      </w:r>
      <w:r>
        <w:rPr>
          <w:rFonts w:hint="eastAsia" w:ascii="仿宋" w:hAnsi="仿宋" w:eastAsia="仿宋" w:cs="宋体"/>
          <w:bCs/>
          <w:sz w:val="22"/>
          <w:szCs w:val="22"/>
        </w:rPr>
        <w:t>可自行补充。</w:t>
      </w:r>
    </w:p>
    <w:p>
      <w:pPr>
        <w:pStyle w:val="2"/>
        <w:ind w:firstLine="110" w:firstLineChars="50"/>
        <w:rPr>
          <w:rFonts w:ascii="仿宋" w:hAnsi="仿宋" w:eastAsia="仿宋" w:cs="宋体"/>
          <w:bCs/>
          <w:sz w:val="22"/>
          <w:szCs w:val="22"/>
        </w:rPr>
      </w:pPr>
      <w:r>
        <w:rPr>
          <w:rFonts w:hint="eastAsia" w:ascii="仿宋" w:hAnsi="仿宋" w:eastAsia="仿宋" w:cs="宋体"/>
          <w:bCs/>
          <w:sz w:val="22"/>
          <w:szCs w:val="22"/>
        </w:rPr>
        <w:t>3.最终结算价格按上述表格中的单价乘以实际检测设备数量计算结算。</w:t>
      </w:r>
    </w:p>
    <w:p>
      <w:pPr>
        <w:pStyle w:val="2"/>
      </w:pPr>
    </w:p>
    <w:p>
      <w:pPr>
        <w:spacing w:line="360" w:lineRule="auto"/>
        <w:rPr>
          <w:rFonts w:ascii="仿宋" w:hAnsi="仿宋" w:eastAsia="仿宋" w:cs="宋体"/>
          <w:bCs/>
          <w:sz w:val="24"/>
        </w:rPr>
      </w:pPr>
      <w:r>
        <w:rPr>
          <w:rFonts w:hint="eastAsia" w:ascii="仿宋" w:hAnsi="仿宋" w:eastAsia="仿宋" w:cs="宋体"/>
          <w:bCs/>
          <w:sz w:val="24"/>
        </w:rPr>
        <w:t>比选申请人（单位公章）：</w:t>
      </w:r>
    </w:p>
    <w:p>
      <w:pPr>
        <w:spacing w:line="360" w:lineRule="auto"/>
        <w:rPr>
          <w:rFonts w:ascii="仿宋" w:hAnsi="仿宋" w:eastAsia="仿宋" w:cs="宋体"/>
          <w:bCs/>
          <w:sz w:val="24"/>
        </w:rPr>
      </w:pPr>
      <w:r>
        <w:rPr>
          <w:rFonts w:hint="eastAsia" w:ascii="仿宋" w:hAnsi="仿宋" w:eastAsia="仿宋" w:cs="宋体"/>
          <w:bCs/>
          <w:sz w:val="24"/>
        </w:rPr>
        <w:t>法定代表人或授权代表（签字）：</w:t>
      </w:r>
    </w:p>
    <w:p>
      <w:pPr>
        <w:spacing w:line="360" w:lineRule="auto"/>
        <w:rPr>
          <w:rFonts w:ascii="仿宋" w:hAnsi="仿宋" w:eastAsia="仿宋" w:cs="宋体"/>
          <w:bCs/>
          <w:sz w:val="24"/>
        </w:rPr>
      </w:pPr>
      <w:r>
        <w:rPr>
          <w:rFonts w:hint="eastAsia" w:ascii="仿宋" w:hAnsi="仿宋" w:eastAsia="仿宋" w:cs="宋体"/>
          <w:bCs/>
          <w:sz w:val="24"/>
        </w:rPr>
        <w:t>日期：</w:t>
      </w:r>
    </w:p>
    <w:p>
      <w:pPr>
        <w:adjustRightInd w:val="0"/>
        <w:snapToGrid w:val="0"/>
        <w:spacing w:line="360" w:lineRule="auto"/>
        <w:rPr>
          <w:rFonts w:ascii="仿宋" w:hAnsi="仿宋" w:eastAsia="仿宋" w:cs="仿宋"/>
          <w:bCs/>
          <w:sz w:val="24"/>
        </w:rPr>
      </w:pPr>
    </w:p>
    <w:p>
      <w:pPr>
        <w:pStyle w:val="4"/>
        <w:spacing w:line="360" w:lineRule="auto"/>
        <w:rPr>
          <w:rFonts w:ascii="仿宋" w:hAnsi="仿宋" w:eastAsia="仿宋" w:cs="仿宋"/>
          <w:sz w:val="24"/>
          <w:szCs w:val="24"/>
        </w:rPr>
      </w:pPr>
    </w:p>
    <w:p>
      <w:pPr>
        <w:spacing w:line="360" w:lineRule="auto"/>
        <w:rPr>
          <w:rFonts w:ascii="仿宋" w:hAnsi="仿宋" w:eastAsia="仿宋" w:cs="仿宋"/>
          <w:bCs/>
          <w:sz w:val="24"/>
        </w:rPr>
      </w:pPr>
    </w:p>
    <w:p>
      <w:pPr>
        <w:widowControl/>
        <w:jc w:val="left"/>
        <w:rPr>
          <w:rFonts w:ascii="仿宋" w:hAnsi="仿宋" w:eastAsia="仿宋" w:cs="仿宋"/>
          <w:sz w:val="24"/>
        </w:rPr>
      </w:pPr>
    </w:p>
    <w:p>
      <w:pPr>
        <w:tabs>
          <w:tab w:val="left" w:pos="6645"/>
        </w:tabs>
        <w:spacing w:line="360" w:lineRule="auto"/>
        <w:jc w:val="left"/>
        <w:rPr>
          <w:rFonts w:ascii="仿宋" w:hAnsi="仿宋" w:eastAsia="仿宋" w:cs="仿宋"/>
          <w:b/>
          <w:sz w:val="24"/>
        </w:rPr>
      </w:pPr>
      <w:r>
        <w:rPr>
          <w:rFonts w:hint="eastAsia" w:ascii="仿宋" w:hAnsi="仿宋" w:eastAsia="仿宋" w:cs="仿宋"/>
          <w:b/>
          <w:sz w:val="24"/>
        </w:rPr>
        <w:t>附件3 反商业贿赂承诺书</w:t>
      </w:r>
    </w:p>
    <w:p>
      <w:pPr>
        <w:spacing w:line="360" w:lineRule="auto"/>
        <w:ind w:firstLine="866"/>
        <w:jc w:val="left"/>
        <w:rPr>
          <w:rFonts w:ascii="仿宋" w:hAnsi="仿宋" w:eastAsia="仿宋" w:cs="仿宋"/>
          <w:b/>
          <w:sz w:val="24"/>
        </w:rPr>
      </w:pPr>
    </w:p>
    <w:p>
      <w:pPr>
        <w:tabs>
          <w:tab w:val="left" w:pos="6645"/>
        </w:tabs>
        <w:spacing w:line="360" w:lineRule="auto"/>
        <w:jc w:val="center"/>
        <w:rPr>
          <w:rFonts w:ascii="仿宋" w:hAnsi="仿宋" w:eastAsia="仿宋" w:cs="仿宋"/>
          <w:sz w:val="32"/>
          <w:szCs w:val="32"/>
        </w:rPr>
      </w:pPr>
      <w:r>
        <w:rPr>
          <w:rFonts w:hint="eastAsia" w:ascii="仿宋" w:hAnsi="仿宋" w:eastAsia="仿宋" w:cs="仿宋"/>
          <w:sz w:val="32"/>
          <w:szCs w:val="32"/>
        </w:rPr>
        <w:t>反商业贿赂承诺书</w:t>
      </w:r>
    </w:p>
    <w:p>
      <w:pPr>
        <w:spacing w:line="360" w:lineRule="auto"/>
        <w:ind w:firstLine="480" w:firstLineChars="200"/>
        <w:rPr>
          <w:rFonts w:ascii="仿宋" w:hAnsi="仿宋" w:eastAsia="仿宋" w:cs="仿宋"/>
          <w:sz w:val="24"/>
        </w:rPr>
      </w:pPr>
      <w:r>
        <w:rPr>
          <w:rFonts w:hint="eastAsia" w:ascii="仿宋" w:hAnsi="仿宋" w:eastAsia="仿宋" w:cs="仿宋"/>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360" w:lineRule="auto"/>
        <w:ind w:firstLine="480" w:firstLineChars="200"/>
        <w:rPr>
          <w:rFonts w:ascii="仿宋" w:hAnsi="仿宋" w:eastAsia="仿宋" w:cs="仿宋"/>
          <w:sz w:val="24"/>
        </w:rPr>
      </w:pPr>
      <w:r>
        <w:rPr>
          <w:rFonts w:hint="eastAsia" w:ascii="仿宋" w:hAnsi="仿宋" w:eastAsia="仿宋" w:cs="仿宋"/>
          <w:sz w:val="24"/>
        </w:rPr>
        <w:t>一、严格按照《招标投标法》、《药品管理法》、《反不正当竞争法》等有关法律、法规、规章、政策的规定，规范本厂家、商家、公司的药品、医疗器械、设备、物资、基建工程竞标工作以及药品准入贵院以后的销售等工作，保证比选申请人做到合法竞标、正当竞争、廉洁经营。</w:t>
      </w:r>
    </w:p>
    <w:p>
      <w:pPr>
        <w:spacing w:line="360" w:lineRule="auto"/>
        <w:ind w:firstLine="480" w:firstLineChars="200"/>
        <w:rPr>
          <w:rFonts w:ascii="仿宋" w:hAnsi="仿宋" w:eastAsia="仿宋" w:cs="仿宋"/>
          <w:sz w:val="24"/>
        </w:rPr>
      </w:pPr>
      <w:r>
        <w:rPr>
          <w:rFonts w:hint="eastAsia" w:ascii="仿宋" w:hAnsi="仿宋" w:eastAsia="仿宋" w:cs="仿宋"/>
          <w:sz w:val="24"/>
        </w:rPr>
        <w:t>二、本厂家、商家、公司保证在药品、医疗器械、设备、物资、基建工程竞标工作及药品、试剂销售等工作中承诺做到：</w:t>
      </w:r>
    </w:p>
    <w:p>
      <w:pPr>
        <w:spacing w:line="360" w:lineRule="auto"/>
        <w:ind w:firstLine="480" w:firstLineChars="200"/>
        <w:rPr>
          <w:rFonts w:ascii="仿宋" w:hAnsi="仿宋" w:eastAsia="仿宋" w:cs="仿宋"/>
          <w:sz w:val="24"/>
        </w:rPr>
      </w:pPr>
      <w:r>
        <w:rPr>
          <w:rFonts w:hint="eastAsia" w:ascii="仿宋" w:hAnsi="仿宋" w:eastAsia="仿宋" w:cs="仿宋"/>
          <w:sz w:val="24"/>
        </w:rPr>
        <w:t>1、不与其他相互串通报价，损害贵院的合法权益；</w:t>
      </w:r>
    </w:p>
    <w:p>
      <w:pPr>
        <w:spacing w:line="360" w:lineRule="auto"/>
        <w:ind w:firstLine="480" w:firstLineChars="200"/>
        <w:rPr>
          <w:rFonts w:ascii="仿宋" w:hAnsi="仿宋" w:eastAsia="仿宋" w:cs="仿宋"/>
          <w:sz w:val="24"/>
        </w:rPr>
      </w:pPr>
      <w:r>
        <w:rPr>
          <w:rFonts w:hint="eastAsia" w:ascii="仿宋" w:hAnsi="仿宋" w:eastAsia="仿宋" w:cs="仿宋"/>
          <w:sz w:val="24"/>
        </w:rPr>
        <w:t>2、不与比选人串通投标，损害国家利益、社会公共利益或他人的合法权益；</w:t>
      </w:r>
    </w:p>
    <w:p>
      <w:pPr>
        <w:spacing w:line="360" w:lineRule="auto"/>
        <w:ind w:firstLine="480" w:firstLineChars="200"/>
        <w:rPr>
          <w:rFonts w:ascii="仿宋" w:hAnsi="仿宋" w:eastAsia="仿宋" w:cs="仿宋"/>
          <w:sz w:val="24"/>
        </w:rPr>
      </w:pPr>
      <w:r>
        <w:rPr>
          <w:rFonts w:hint="eastAsia" w:ascii="仿宋" w:hAnsi="仿宋" w:eastAsia="仿宋" w:cs="仿宋"/>
          <w:sz w:val="24"/>
        </w:rPr>
        <w:t>3、不以向比选人或者评审委员会成员行贿的手段谋取中选；</w:t>
      </w:r>
    </w:p>
    <w:p>
      <w:pPr>
        <w:spacing w:line="360" w:lineRule="auto"/>
        <w:ind w:firstLine="480" w:firstLineChars="200"/>
        <w:rPr>
          <w:rFonts w:ascii="仿宋" w:hAnsi="仿宋" w:eastAsia="仿宋" w:cs="仿宋"/>
          <w:sz w:val="24"/>
        </w:rPr>
      </w:pPr>
      <w:r>
        <w:rPr>
          <w:rFonts w:hint="eastAsia" w:ascii="仿宋" w:hAnsi="仿宋" w:eastAsia="仿宋" w:cs="仿宋"/>
          <w:sz w:val="24"/>
        </w:rPr>
        <w:t>4、比选报价不违反相关法律的规定，也不以他人名义参选或者以其他方式弄虚作假，骗取中标；</w:t>
      </w:r>
    </w:p>
    <w:p>
      <w:pPr>
        <w:spacing w:line="360" w:lineRule="auto"/>
        <w:ind w:firstLine="480" w:firstLineChars="200"/>
        <w:rPr>
          <w:rFonts w:ascii="仿宋" w:hAnsi="仿宋" w:eastAsia="仿宋" w:cs="仿宋"/>
          <w:sz w:val="24"/>
        </w:rPr>
      </w:pPr>
      <w:r>
        <w:rPr>
          <w:rFonts w:hint="eastAsia" w:ascii="仿宋" w:hAnsi="仿宋" w:eastAsia="仿宋" w:cs="仿宋"/>
          <w:sz w:val="24"/>
        </w:rPr>
        <w:t>5、保证不以其他任何方式扰乱贵院的招标工作；</w:t>
      </w:r>
    </w:p>
    <w:p>
      <w:pPr>
        <w:spacing w:line="360" w:lineRule="auto"/>
        <w:ind w:firstLine="480" w:firstLineChars="200"/>
        <w:rPr>
          <w:rFonts w:ascii="仿宋" w:hAnsi="仿宋" w:eastAsia="仿宋" w:cs="仿宋"/>
          <w:sz w:val="24"/>
        </w:rPr>
      </w:pPr>
      <w:r>
        <w:rPr>
          <w:rFonts w:hint="eastAsia" w:ascii="仿宋" w:hAnsi="仿宋" w:eastAsia="仿宋" w:cs="仿宋"/>
          <w:sz w:val="24"/>
        </w:rPr>
        <w:t>6、保证不在药品销售、医疗器械、设备、物资、基建工程竞标中采取账外暗中给予回扣的手段腐蚀、贿赂医护、药剂人员、干部等其他相关人员；</w:t>
      </w:r>
    </w:p>
    <w:p>
      <w:pPr>
        <w:spacing w:line="360" w:lineRule="auto"/>
        <w:ind w:firstLine="480" w:firstLineChars="200"/>
        <w:rPr>
          <w:rFonts w:ascii="仿宋" w:hAnsi="仿宋" w:eastAsia="仿宋" w:cs="仿宋"/>
          <w:sz w:val="24"/>
        </w:rPr>
      </w:pPr>
      <w:r>
        <w:rPr>
          <w:rFonts w:hint="eastAsia" w:ascii="仿宋" w:hAnsi="仿宋" w:eastAsia="仿宋" w:cs="仿宋"/>
          <w:sz w:val="24"/>
        </w:rPr>
        <w:t>7、保证不以任何名义包括以宣传费、临床促销费、开单费、处方费、广告费、免费度假、考察旅游、房屋装修等任何名义给予贵院采购人员、药剂人员、医护人员、干部等有关人员以财物或者其他利益；</w:t>
      </w:r>
    </w:p>
    <w:p>
      <w:pPr>
        <w:spacing w:line="360" w:lineRule="auto"/>
        <w:ind w:firstLine="480" w:firstLineChars="200"/>
        <w:rPr>
          <w:rFonts w:ascii="仿宋" w:hAnsi="仿宋" w:eastAsia="仿宋" w:cs="仿宋"/>
          <w:sz w:val="24"/>
        </w:rPr>
      </w:pPr>
      <w:r>
        <w:rPr>
          <w:rFonts w:hint="eastAsia" w:ascii="仿宋" w:hAnsi="仿宋" w:eastAsia="仿宋" w:cs="仿宋"/>
          <w:sz w:val="24"/>
        </w:rPr>
        <w:t>8、保证不让贵院临床科室、药剂部门以及有关人员登记、统计医生处方或为此提供方便，干扰贵院的正常工作秩序；</w:t>
      </w:r>
    </w:p>
    <w:p>
      <w:pPr>
        <w:spacing w:line="360" w:lineRule="auto"/>
        <w:ind w:firstLine="480" w:firstLineChars="200"/>
        <w:rPr>
          <w:rFonts w:ascii="仿宋" w:hAnsi="仿宋" w:eastAsia="仿宋" w:cs="仿宋"/>
          <w:sz w:val="24"/>
        </w:rPr>
      </w:pPr>
      <w:r>
        <w:rPr>
          <w:rFonts w:hint="eastAsia" w:ascii="仿宋" w:hAnsi="仿宋" w:eastAsia="仿宋" w:cs="仿宋"/>
          <w:sz w:val="24"/>
        </w:rPr>
        <w:t>9、保证不以其他任何不正当竞争手段推销药品、医疗器械、设备、物资。</w:t>
      </w:r>
    </w:p>
    <w:p>
      <w:pPr>
        <w:spacing w:line="360" w:lineRule="auto"/>
        <w:ind w:firstLine="480" w:firstLineChars="200"/>
        <w:rPr>
          <w:rFonts w:ascii="仿宋" w:hAnsi="仿宋" w:eastAsia="仿宋" w:cs="仿宋"/>
          <w:sz w:val="24"/>
        </w:rPr>
      </w:pPr>
      <w:r>
        <w:rPr>
          <w:rFonts w:hint="eastAsia" w:ascii="仿宋" w:hAnsi="仿宋" w:eastAsia="仿宋" w:cs="仿宋"/>
          <w:sz w:val="24"/>
        </w:rPr>
        <w:t>三、本厂家、商家、公司保证竭力维护贵院的声誉，不做任何有损贵院形象的事情。</w:t>
      </w:r>
    </w:p>
    <w:p>
      <w:pPr>
        <w:spacing w:line="360" w:lineRule="auto"/>
        <w:ind w:firstLine="480" w:firstLineChars="200"/>
        <w:rPr>
          <w:rFonts w:ascii="仿宋" w:hAnsi="仿宋" w:eastAsia="仿宋" w:cs="仿宋"/>
          <w:sz w:val="24"/>
        </w:rPr>
      </w:pPr>
      <w:r>
        <w:rPr>
          <w:rFonts w:hint="eastAsia" w:ascii="仿宋" w:hAnsi="仿宋" w:eastAsia="仿宋" w:cs="仿宋"/>
          <w:sz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360" w:lineRule="auto"/>
        <w:ind w:firstLine="480" w:firstLineChars="200"/>
        <w:rPr>
          <w:rFonts w:ascii="仿宋" w:hAnsi="仿宋" w:eastAsia="仿宋" w:cs="仿宋"/>
          <w:sz w:val="24"/>
        </w:rPr>
      </w:pPr>
      <w:r>
        <w:rPr>
          <w:rFonts w:hint="eastAsia" w:ascii="仿宋" w:hAnsi="仿宋" w:eastAsia="仿宋" w:cs="仿宋"/>
          <w:sz w:val="24"/>
        </w:rPr>
        <w:t>五、对本厂家、商家、公司及本厂家、商家、公司工作人员采取以上手段竞标、促销等，干扰贵院正常工作秩序，损害贵院形象的，本厂家、商家、公司保证：</w:t>
      </w:r>
    </w:p>
    <w:p>
      <w:pPr>
        <w:spacing w:line="360" w:lineRule="auto"/>
        <w:ind w:firstLine="480" w:firstLineChars="200"/>
        <w:rPr>
          <w:rFonts w:ascii="仿宋" w:hAnsi="仿宋" w:eastAsia="仿宋" w:cs="仿宋"/>
          <w:sz w:val="24"/>
        </w:rPr>
      </w:pPr>
      <w:r>
        <w:rPr>
          <w:rFonts w:hint="eastAsia" w:ascii="仿宋" w:hAnsi="仿宋" w:eastAsia="仿宋" w:cs="仿宋"/>
          <w:sz w:val="24"/>
        </w:rPr>
        <w:t>1、对尚处在竞标阶段的，贵院有权取消本厂家、商家、公司的竞标资格；已经中标的，贵院有权取消中标；对已经获得准入资格的，贵院有权随时取消本厂家、商家、公司的准入资格；</w:t>
      </w:r>
    </w:p>
    <w:p>
      <w:pPr>
        <w:spacing w:line="360" w:lineRule="auto"/>
        <w:ind w:firstLine="480" w:firstLineChars="200"/>
        <w:rPr>
          <w:rFonts w:ascii="仿宋" w:hAnsi="仿宋" w:eastAsia="仿宋" w:cs="仿宋"/>
          <w:sz w:val="24"/>
        </w:rPr>
      </w:pPr>
      <w:r>
        <w:rPr>
          <w:rFonts w:hint="eastAsia" w:ascii="仿宋" w:hAnsi="仿宋" w:eastAsia="仿宋" w:cs="仿宋"/>
          <w:sz w:val="24"/>
        </w:rPr>
        <w:t>2、对本厂家、商家、公司相关工作人员作出严肃处理；</w:t>
      </w:r>
    </w:p>
    <w:p>
      <w:pPr>
        <w:spacing w:line="360" w:lineRule="auto"/>
        <w:ind w:firstLine="480" w:firstLineChars="200"/>
        <w:rPr>
          <w:rFonts w:ascii="仿宋" w:hAnsi="仿宋" w:eastAsia="仿宋" w:cs="仿宋"/>
          <w:sz w:val="24"/>
        </w:rPr>
      </w:pPr>
      <w:r>
        <w:rPr>
          <w:rFonts w:hint="eastAsia" w:ascii="仿宋" w:hAnsi="仿宋" w:eastAsia="仿宋" w:cs="仿宋"/>
          <w:sz w:val="24"/>
        </w:rPr>
        <w:t>3、对由于本厂家、商家、公司或本厂家、商家、公司工作人员的上述行为给贵院造成经济或名誉损失的，由本厂家、商家、公司负责，并愿意承担全部民事赔偿责任。</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六、采购物资名称：                                   </w:t>
      </w:r>
    </w:p>
    <w:p>
      <w:pPr>
        <w:spacing w:line="360" w:lineRule="auto"/>
        <w:ind w:firstLine="480" w:firstLineChars="200"/>
        <w:rPr>
          <w:rFonts w:ascii="仿宋" w:hAnsi="仿宋" w:eastAsia="仿宋" w:cs="仿宋"/>
          <w:sz w:val="24"/>
        </w:rPr>
      </w:pPr>
      <w:r>
        <w:rPr>
          <w:rFonts w:hint="eastAsia" w:ascii="仿宋" w:hAnsi="仿宋" w:eastAsia="仿宋" w:cs="仿宋"/>
          <w:sz w:val="24"/>
        </w:rPr>
        <w:t>本《承诺书》一式二份（一份由承诺人自存；一份随竞价书传递）</w:t>
      </w:r>
    </w:p>
    <w:p>
      <w:pPr>
        <w:spacing w:line="360" w:lineRule="auto"/>
        <w:rPr>
          <w:rFonts w:ascii="仿宋" w:hAnsi="仿宋" w:eastAsia="仿宋" w:cs="仿宋"/>
          <w:sz w:val="24"/>
        </w:rPr>
      </w:pPr>
      <w:r>
        <w:rPr>
          <w:rFonts w:hint="eastAsia" w:ascii="仿宋" w:hAnsi="仿宋" w:eastAsia="仿宋" w:cs="仿宋"/>
          <w:sz w:val="24"/>
        </w:rPr>
        <w:t xml:space="preserve">承诺企业名称（公章）                  </w:t>
      </w:r>
    </w:p>
    <w:p>
      <w:pPr>
        <w:spacing w:line="360" w:lineRule="auto"/>
        <w:rPr>
          <w:rFonts w:ascii="仿宋" w:hAnsi="仿宋" w:eastAsia="仿宋" w:cs="仿宋"/>
          <w:sz w:val="24"/>
        </w:rPr>
      </w:pPr>
      <w:r>
        <w:rPr>
          <w:rFonts w:hint="eastAsia" w:ascii="仿宋" w:hAnsi="仿宋" w:eastAsia="仿宋" w:cs="仿宋"/>
          <w:sz w:val="24"/>
        </w:rPr>
        <w:t>法人代表或委托代理人（承诺人）</w:t>
      </w:r>
    </w:p>
    <w:p>
      <w:pPr>
        <w:spacing w:line="360" w:lineRule="auto"/>
        <w:rPr>
          <w:rFonts w:ascii="仿宋" w:hAnsi="仿宋" w:eastAsia="仿宋" w:cs="仿宋"/>
          <w:sz w:val="24"/>
        </w:rPr>
      </w:pPr>
    </w:p>
    <w:p>
      <w:pPr>
        <w:spacing w:line="360" w:lineRule="auto"/>
        <w:rPr>
          <w:rFonts w:ascii="仿宋" w:hAnsi="仿宋" w:eastAsia="仿宋" w:cs="仿宋"/>
          <w:sz w:val="24"/>
        </w:rPr>
      </w:pPr>
    </w:p>
    <w:p>
      <w:pPr>
        <w:widowControl/>
        <w:jc w:val="left"/>
      </w:pPr>
      <w:r>
        <w:br w:type="page"/>
      </w:r>
    </w:p>
    <w:p>
      <w:pPr>
        <w:spacing w:line="360" w:lineRule="auto"/>
        <w:rPr>
          <w:rFonts w:ascii="仿宋" w:hAnsi="仿宋" w:eastAsia="仿宋" w:cs="仿宋"/>
          <w:sz w:val="24"/>
        </w:rPr>
      </w:pPr>
      <w:r>
        <w:rPr>
          <w:rFonts w:hint="eastAsia" w:ascii="仿宋" w:hAnsi="仿宋" w:eastAsia="仿宋" w:cs="仿宋"/>
          <w:sz w:val="24"/>
        </w:rPr>
        <w:t>文件装订顺序</w:t>
      </w:r>
    </w:p>
    <w:p>
      <w:pPr>
        <w:spacing w:line="360" w:lineRule="auto"/>
        <w:jc w:val="center"/>
        <w:rPr>
          <w:rFonts w:ascii="仿宋" w:hAnsi="仿宋" w:eastAsia="仿宋" w:cs="仿宋"/>
          <w:bCs/>
          <w:sz w:val="24"/>
        </w:rPr>
      </w:pPr>
    </w:p>
    <w:p>
      <w:pPr>
        <w:spacing w:line="360" w:lineRule="auto"/>
        <w:jc w:val="center"/>
        <w:rPr>
          <w:rFonts w:ascii="仿宋" w:hAnsi="仿宋" w:eastAsia="仿宋" w:cs="仿宋"/>
          <w:bCs/>
          <w:sz w:val="24"/>
        </w:rPr>
      </w:pPr>
      <w:r>
        <w:rPr>
          <w:rFonts w:hint="eastAsia" w:ascii="仿宋" w:hAnsi="仿宋" w:eastAsia="仿宋" w:cs="仿宋"/>
          <w:bCs/>
          <w:sz w:val="24"/>
        </w:rPr>
        <w:t>采购文件书装订顺序</w:t>
      </w:r>
    </w:p>
    <w:p>
      <w:pPr>
        <w:pStyle w:val="5"/>
      </w:pPr>
    </w:p>
    <w:p>
      <w:pPr>
        <w:spacing w:line="360" w:lineRule="auto"/>
        <w:ind w:firstLine="512" w:firstLineChars="200"/>
        <w:rPr>
          <w:rFonts w:ascii="仿宋" w:hAnsi="仿宋" w:eastAsia="仿宋" w:cs="仿宋"/>
          <w:bCs/>
          <w:color w:val="000000"/>
          <w:spacing w:val="8"/>
          <w:sz w:val="24"/>
        </w:rPr>
      </w:pPr>
      <w:r>
        <w:rPr>
          <w:rFonts w:hint="eastAsia" w:ascii="仿宋" w:hAnsi="仿宋" w:eastAsia="仿宋" w:cs="仿宋"/>
          <w:bCs/>
          <w:color w:val="000000"/>
          <w:spacing w:val="8"/>
          <w:sz w:val="24"/>
        </w:rPr>
        <w:t>1、封面（公司、项目、联系人、联系方式）；</w:t>
      </w:r>
    </w:p>
    <w:p>
      <w:pPr>
        <w:spacing w:line="360" w:lineRule="auto"/>
        <w:ind w:firstLine="512" w:firstLineChars="200"/>
        <w:rPr>
          <w:rFonts w:ascii="仿宋" w:hAnsi="仿宋" w:eastAsia="仿宋" w:cs="仿宋"/>
          <w:bCs/>
          <w:color w:val="000000"/>
          <w:spacing w:val="8"/>
          <w:sz w:val="24"/>
        </w:rPr>
      </w:pPr>
      <w:r>
        <w:rPr>
          <w:rFonts w:hint="eastAsia" w:ascii="仿宋" w:hAnsi="仿宋" w:eastAsia="仿宋" w:cs="仿宋"/>
          <w:bCs/>
          <w:color w:val="000000"/>
          <w:spacing w:val="8"/>
          <w:sz w:val="24"/>
        </w:rPr>
        <w:t>2、目录；</w:t>
      </w:r>
    </w:p>
    <w:p>
      <w:pPr>
        <w:adjustRightInd w:val="0"/>
        <w:spacing w:line="360" w:lineRule="auto"/>
        <w:ind w:firstLine="512" w:firstLineChars="200"/>
        <w:rPr>
          <w:rFonts w:ascii="仿宋" w:hAnsi="仿宋" w:eastAsia="仿宋" w:cs="仿宋"/>
          <w:b/>
          <w:sz w:val="24"/>
        </w:rPr>
      </w:pPr>
      <w:r>
        <w:rPr>
          <w:rFonts w:hint="eastAsia" w:ascii="仿宋" w:hAnsi="仿宋" w:eastAsia="仿宋" w:cs="仿宋"/>
          <w:bCs/>
          <w:spacing w:val="8"/>
          <w:sz w:val="24"/>
        </w:rPr>
        <w:t>3、</w:t>
      </w:r>
      <w:r>
        <w:rPr>
          <w:rFonts w:hint="eastAsia" w:ascii="仿宋" w:hAnsi="仿宋" w:eastAsia="仿宋" w:cs="仿宋"/>
          <w:sz w:val="24"/>
        </w:rPr>
        <w:t>报价一览表；</w:t>
      </w:r>
    </w:p>
    <w:p>
      <w:pPr>
        <w:spacing w:line="360" w:lineRule="auto"/>
        <w:ind w:firstLine="512" w:firstLineChars="200"/>
        <w:rPr>
          <w:rFonts w:ascii="仿宋" w:hAnsi="仿宋" w:eastAsia="仿宋" w:cs="仿宋"/>
          <w:bCs/>
          <w:spacing w:val="8"/>
          <w:sz w:val="24"/>
        </w:rPr>
      </w:pPr>
      <w:r>
        <w:rPr>
          <w:rFonts w:hint="eastAsia" w:ascii="仿宋" w:hAnsi="仿宋" w:eastAsia="仿宋" w:cs="仿宋"/>
          <w:bCs/>
          <w:spacing w:val="8"/>
          <w:sz w:val="24"/>
        </w:rPr>
        <w:t>4、企业营业执照（复印件）；</w:t>
      </w:r>
    </w:p>
    <w:p>
      <w:pPr>
        <w:spacing w:line="360" w:lineRule="auto"/>
        <w:ind w:firstLine="512" w:firstLineChars="200"/>
        <w:rPr>
          <w:rFonts w:ascii="仿宋" w:hAnsi="仿宋" w:eastAsia="仿宋" w:cs="仿宋"/>
          <w:bCs/>
          <w:spacing w:val="8"/>
          <w:sz w:val="24"/>
        </w:rPr>
      </w:pPr>
      <w:r>
        <w:rPr>
          <w:rFonts w:hint="eastAsia" w:ascii="仿宋" w:hAnsi="仿宋" w:eastAsia="仿宋" w:cs="仿宋"/>
          <w:bCs/>
          <w:spacing w:val="8"/>
          <w:sz w:val="24"/>
        </w:rPr>
        <w:t>5、《放射卫生技术服务机构资质证书》、供应商具备国家计量认证（CMA）资质证书；</w:t>
      </w:r>
    </w:p>
    <w:p>
      <w:pPr>
        <w:spacing w:line="360" w:lineRule="auto"/>
        <w:ind w:firstLine="480" w:firstLineChars="200"/>
        <w:rPr>
          <w:rFonts w:ascii="仿宋" w:hAnsi="仿宋" w:eastAsia="仿宋" w:cs="仿宋"/>
          <w:bCs/>
          <w:color w:val="000000"/>
          <w:spacing w:val="8"/>
          <w:sz w:val="24"/>
        </w:rPr>
      </w:pPr>
      <w:r>
        <w:rPr>
          <w:rFonts w:hint="eastAsia" w:ascii="仿宋" w:hAnsi="仿宋" w:eastAsia="仿宋" w:cs="仿宋"/>
          <w:sz w:val="24"/>
        </w:rPr>
        <w:t>6、本项目不接受分包或联合体参选（提供承诺函）。</w:t>
      </w:r>
    </w:p>
    <w:p>
      <w:pPr>
        <w:spacing w:line="360" w:lineRule="auto"/>
        <w:ind w:firstLine="480" w:firstLineChars="200"/>
        <w:rPr>
          <w:rFonts w:ascii="仿宋" w:hAnsi="仿宋" w:eastAsia="仿宋" w:cs="仿宋"/>
          <w:sz w:val="24"/>
        </w:rPr>
      </w:pPr>
      <w:r>
        <w:rPr>
          <w:rFonts w:hint="eastAsia" w:ascii="仿宋" w:hAnsi="仿宋" w:eastAsia="仿宋" w:cs="仿宋"/>
          <w:sz w:val="24"/>
        </w:rPr>
        <w:t>7、法定代表人授权书、法人、经办人身份证（复印件）；</w:t>
      </w:r>
    </w:p>
    <w:p>
      <w:pPr>
        <w:spacing w:line="360" w:lineRule="auto"/>
        <w:ind w:firstLine="480" w:firstLineChars="200"/>
        <w:rPr>
          <w:rFonts w:ascii="仿宋" w:hAnsi="仿宋" w:eastAsia="仿宋" w:cs="仿宋"/>
          <w:bCs/>
          <w:color w:val="000000"/>
          <w:spacing w:val="8"/>
          <w:sz w:val="24"/>
        </w:rPr>
      </w:pPr>
      <w:r>
        <w:rPr>
          <w:rFonts w:hint="eastAsia" w:ascii="仿宋" w:hAnsi="仿宋" w:eastAsia="仿宋" w:cs="仿宋"/>
          <w:sz w:val="24"/>
        </w:rPr>
        <w:t>8、</w:t>
      </w:r>
      <w:r>
        <w:rPr>
          <w:rFonts w:hint="eastAsia" w:ascii="仿宋" w:hAnsi="仿宋" w:eastAsia="仿宋" w:cs="仿宋"/>
          <w:bCs/>
          <w:sz w:val="24"/>
        </w:rPr>
        <w:t>如有</w:t>
      </w:r>
      <w:r>
        <w:rPr>
          <w:rFonts w:hint="eastAsia" w:ascii="仿宋" w:hAnsi="仿宋" w:eastAsia="仿宋" w:cs="仿宋"/>
          <w:sz w:val="24"/>
        </w:rPr>
        <w:t>企业管理体系认证（考核），请提供的有效证明文件的复印或扫描件，质量管理体系认证包括FDA、CE、ISO等认证（提供中文翻译复印件）</w:t>
      </w:r>
    </w:p>
    <w:p>
      <w:pPr>
        <w:spacing w:line="360" w:lineRule="auto"/>
        <w:ind w:firstLine="480" w:firstLineChars="200"/>
        <w:rPr>
          <w:rFonts w:ascii="仿宋" w:hAnsi="仿宋" w:eastAsia="仿宋" w:cs="仿宋"/>
          <w:sz w:val="24"/>
        </w:rPr>
      </w:pPr>
      <w:r>
        <w:rPr>
          <w:rFonts w:hint="eastAsia" w:ascii="仿宋" w:hAnsi="仿宋" w:eastAsia="仿宋" w:cs="仿宋"/>
          <w:bCs/>
          <w:sz w:val="24"/>
        </w:rPr>
        <w:t>9、</w:t>
      </w:r>
      <w:r>
        <w:rPr>
          <w:rFonts w:hint="eastAsia" w:ascii="仿宋" w:hAnsi="仿宋" w:eastAsia="仿宋" w:cs="仿宋"/>
          <w:sz w:val="24"/>
        </w:rPr>
        <w:t>检测规范或标准名称</w:t>
      </w:r>
    </w:p>
    <w:p>
      <w:pPr>
        <w:spacing w:line="360" w:lineRule="auto"/>
        <w:ind w:firstLine="480" w:firstLineChars="200"/>
        <w:rPr>
          <w:rFonts w:ascii="仿宋" w:hAnsi="仿宋" w:eastAsia="仿宋" w:cs="仿宋"/>
          <w:sz w:val="24"/>
        </w:rPr>
      </w:pPr>
      <w:r>
        <w:rPr>
          <w:rFonts w:hint="eastAsia" w:ascii="仿宋" w:hAnsi="仿宋" w:eastAsia="仿宋" w:cs="仿宋"/>
          <w:sz w:val="24"/>
        </w:rPr>
        <w:t>10、服务方案及</w:t>
      </w:r>
      <w:r>
        <w:rPr>
          <w:rFonts w:hint="eastAsia" w:ascii="仿宋" w:hAnsi="仿宋" w:eastAsia="仿宋" w:cs="仿宋"/>
          <w:bCs/>
          <w:spacing w:val="8"/>
          <w:sz w:val="24"/>
        </w:rPr>
        <w:t>响应</w:t>
      </w:r>
      <w:bookmarkStart w:id="7" w:name="_GoBack"/>
      <w:bookmarkEnd w:id="7"/>
      <w:r>
        <w:rPr>
          <w:rFonts w:hint="eastAsia" w:ascii="仿宋" w:hAnsi="仿宋" w:eastAsia="仿宋" w:cs="仿宋"/>
          <w:bCs/>
          <w:sz w:val="24"/>
        </w:rPr>
        <w:t>服务要求承诺书</w:t>
      </w:r>
    </w:p>
    <w:p>
      <w:pPr>
        <w:spacing w:line="360" w:lineRule="auto"/>
        <w:ind w:firstLine="512" w:firstLineChars="200"/>
        <w:rPr>
          <w:rFonts w:ascii="仿宋" w:hAnsi="仿宋" w:eastAsia="仿宋" w:cs="仿宋"/>
          <w:sz w:val="24"/>
        </w:rPr>
      </w:pPr>
      <w:r>
        <w:rPr>
          <w:rFonts w:hint="eastAsia" w:ascii="仿宋" w:hAnsi="仿宋" w:eastAsia="仿宋" w:cs="仿宋"/>
          <w:bCs/>
          <w:spacing w:val="8"/>
          <w:sz w:val="24"/>
        </w:rPr>
        <w:t>11、</w:t>
      </w:r>
      <w:r>
        <w:rPr>
          <w:rFonts w:hint="eastAsia" w:ascii="仿宋" w:hAnsi="仿宋" w:eastAsia="仿宋" w:cs="仿宋"/>
          <w:sz w:val="24"/>
        </w:rPr>
        <w:t>业绩证明文件（近三年用户名单及联系人与联系方式及合同复印件或近三个月内送货复印件，）。</w:t>
      </w:r>
    </w:p>
    <w:p>
      <w:pPr>
        <w:tabs>
          <w:tab w:val="left" w:pos="0"/>
        </w:tabs>
        <w:spacing w:line="360" w:lineRule="auto"/>
        <w:ind w:firstLine="512" w:firstLineChars="200"/>
        <w:rPr>
          <w:rFonts w:ascii="仿宋" w:hAnsi="仿宋" w:eastAsia="仿宋" w:cs="仿宋"/>
          <w:bCs/>
          <w:sz w:val="24"/>
        </w:rPr>
      </w:pPr>
      <w:r>
        <w:rPr>
          <w:rFonts w:hint="eastAsia" w:ascii="仿宋" w:hAnsi="仿宋" w:eastAsia="仿宋" w:cs="仿宋"/>
          <w:bCs/>
          <w:spacing w:val="8"/>
          <w:sz w:val="24"/>
        </w:rPr>
        <w:t>12、封底</w:t>
      </w:r>
    </w:p>
    <w:p>
      <w:pPr>
        <w:spacing w:line="360" w:lineRule="auto"/>
        <w:rPr>
          <w:rFonts w:ascii="仿宋" w:hAnsi="仿宋" w:eastAsia="仿宋" w:cs="仿宋"/>
          <w:sz w:val="24"/>
        </w:rPr>
      </w:pPr>
      <w:r>
        <w:rPr>
          <w:rFonts w:hint="eastAsia" w:ascii="仿宋" w:hAnsi="仿宋" w:eastAsia="仿宋" w:cs="仿宋"/>
          <w:b/>
          <w:bCs/>
          <w:sz w:val="24"/>
        </w:rPr>
        <w:t>注：请务必按以上顺序装订资料，如有非中文资料，请同时提供中文翻译件。</w:t>
      </w:r>
    </w:p>
    <w:p>
      <w:pPr>
        <w:rPr>
          <w:rFonts w:ascii="仿宋" w:hAnsi="仿宋" w:eastAsia="仿宋" w:cs="仿宋"/>
          <w:b/>
          <w:sz w:val="24"/>
        </w:rPr>
      </w:pPr>
    </w:p>
    <w:p>
      <w:pPr>
        <w:pStyle w:val="5"/>
        <w:rPr>
          <w:rFonts w:ascii="仿宋" w:hAnsi="仿宋" w:eastAsia="仿宋"/>
        </w:rPr>
      </w:pPr>
    </w:p>
    <w:p/>
    <w:p>
      <w:pPr>
        <w:pStyle w:val="5"/>
      </w:pPr>
    </w:p>
    <w:p>
      <w:pPr>
        <w:widowControl/>
        <w:jc w:val="left"/>
        <w:rPr>
          <w:rFonts w:ascii="仿宋" w:hAnsi="仿宋" w:eastAsia="仿宋" w:cs="仿宋"/>
          <w:b/>
          <w:sz w:val="24"/>
        </w:rPr>
      </w:pPr>
      <w:r>
        <w:rPr>
          <w:rFonts w:ascii="仿宋" w:hAnsi="仿宋" w:eastAsia="仿宋" w:cs="仿宋"/>
          <w:b/>
          <w:sz w:val="24"/>
        </w:rPr>
        <w:br w:type="page"/>
      </w:r>
    </w:p>
    <w:p>
      <w:pPr>
        <w:pStyle w:val="8"/>
        <w:spacing w:line="360" w:lineRule="auto"/>
        <w:jc w:val="center"/>
        <w:rPr>
          <w:rFonts w:ascii="新宋体" w:hAnsi="新宋体" w:eastAsia="新宋体" w:cs="新宋体"/>
          <w:b/>
        </w:rPr>
      </w:pPr>
      <w:bookmarkStart w:id="3" w:name="_Toc217446097"/>
      <w:bookmarkStart w:id="4" w:name="_Toc208849007"/>
      <w:bookmarkStart w:id="5" w:name="_Toc183582280"/>
      <w:bookmarkStart w:id="6" w:name="_Toc183682415"/>
      <w:r>
        <w:rPr>
          <w:rFonts w:hint="eastAsia" w:ascii="新宋体" w:hAnsi="新宋体" w:eastAsia="新宋体" w:cs="新宋体"/>
          <w:b/>
        </w:rPr>
        <w:t>比选评分标准</w:t>
      </w:r>
    </w:p>
    <w:bookmarkEnd w:id="3"/>
    <w:bookmarkEnd w:id="4"/>
    <w:bookmarkEnd w:id="5"/>
    <w:bookmarkEnd w:id="6"/>
    <w:p>
      <w:pPr>
        <w:adjustRightInd w:val="0"/>
        <w:snapToGrid w:val="0"/>
        <w:spacing w:line="360" w:lineRule="auto"/>
        <w:ind w:firstLine="480" w:firstLineChars="200"/>
        <w:jc w:val="left"/>
        <w:rPr>
          <w:rFonts w:ascii="新宋体" w:hAnsi="新宋体" w:eastAsia="新宋体" w:cs="新宋体"/>
          <w:sz w:val="24"/>
        </w:rPr>
      </w:pPr>
      <w:r>
        <w:rPr>
          <w:rFonts w:hint="eastAsia" w:ascii="新宋体" w:hAnsi="新宋体" w:eastAsia="新宋体" w:cs="新宋体"/>
          <w:sz w:val="24"/>
        </w:rPr>
        <w:t>1．本次评审采用综合评分进行。</w:t>
      </w:r>
    </w:p>
    <w:p>
      <w:pPr>
        <w:adjustRightInd w:val="0"/>
        <w:snapToGrid w:val="0"/>
        <w:spacing w:line="360" w:lineRule="auto"/>
        <w:ind w:firstLine="480" w:firstLineChars="200"/>
        <w:jc w:val="left"/>
        <w:rPr>
          <w:rFonts w:ascii="新宋体" w:hAnsi="新宋体" w:eastAsia="新宋体" w:cs="新宋体"/>
          <w:sz w:val="24"/>
        </w:rPr>
      </w:pPr>
      <w:r>
        <w:rPr>
          <w:rFonts w:hint="eastAsia" w:ascii="新宋体" w:hAnsi="新宋体" w:eastAsia="新宋体" w:cs="新宋体"/>
          <w:sz w:val="24"/>
        </w:rPr>
        <w:t>2.评分标准：</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09"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新宋体" w:hAnsi="新宋体" w:eastAsia="新宋体" w:cs="新宋体"/>
                <w:bCs/>
                <w:sz w:val="24"/>
              </w:rPr>
            </w:pPr>
            <w:r>
              <w:rPr>
                <w:rFonts w:hint="eastAsia" w:ascii="新宋体" w:hAnsi="新宋体" w:eastAsia="新宋体" w:cs="新宋体"/>
                <w:bCs/>
                <w:sz w:val="24"/>
              </w:rPr>
              <w:t>项目</w:t>
            </w:r>
          </w:p>
        </w:tc>
        <w:tc>
          <w:tcPr>
            <w:tcW w:w="7230"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新宋体" w:hAnsi="新宋体" w:eastAsia="新宋体" w:cs="新宋体"/>
                <w:bCs/>
                <w:sz w:val="24"/>
              </w:rPr>
            </w:pPr>
            <w:r>
              <w:rPr>
                <w:rFonts w:hint="eastAsia" w:ascii="新宋体" w:hAnsi="新宋体" w:eastAsia="新宋体" w:cs="新宋体"/>
                <w:bCs/>
                <w:sz w:val="24"/>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809" w:type="dxa"/>
            <w:tcBorders>
              <w:top w:val="single" w:color="auto" w:sz="4" w:space="0"/>
              <w:left w:val="single" w:color="auto" w:sz="4" w:space="0"/>
              <w:bottom w:val="single" w:color="auto" w:sz="4" w:space="0"/>
              <w:right w:val="single" w:color="auto" w:sz="4" w:space="0"/>
            </w:tcBorders>
            <w:noWrap/>
          </w:tcPr>
          <w:p>
            <w:pPr>
              <w:widowControl/>
              <w:jc w:val="center"/>
              <w:rPr>
                <w:rFonts w:ascii="新宋体" w:hAnsi="新宋体" w:eastAsia="新宋体" w:cs="新宋体"/>
                <w:color w:val="000000"/>
                <w:sz w:val="24"/>
              </w:rPr>
            </w:pPr>
            <w:r>
              <w:rPr>
                <w:rFonts w:hint="eastAsia" w:ascii="新宋体" w:hAnsi="新宋体" w:eastAsia="新宋体" w:cs="新宋体"/>
                <w:color w:val="000000"/>
                <w:sz w:val="24"/>
              </w:rPr>
              <w:t>报价（</w:t>
            </w:r>
            <w:r>
              <w:rPr>
                <w:rFonts w:hint="eastAsia" w:ascii="新宋体" w:hAnsi="新宋体" w:eastAsia="新宋体" w:cs="新宋体"/>
                <w:color w:val="000000"/>
                <w:sz w:val="24"/>
                <w:lang w:val="en-US" w:eastAsia="zh-CN"/>
              </w:rPr>
              <w:t>30</w:t>
            </w:r>
            <w:r>
              <w:rPr>
                <w:rFonts w:hint="eastAsia" w:ascii="新宋体" w:hAnsi="新宋体" w:eastAsia="新宋体" w:cs="新宋体"/>
                <w:color w:val="000000"/>
                <w:sz w:val="24"/>
              </w:rPr>
              <w:t>分）</w:t>
            </w:r>
          </w:p>
        </w:tc>
        <w:tc>
          <w:tcPr>
            <w:tcW w:w="7230" w:type="dxa"/>
            <w:tcBorders>
              <w:top w:val="single" w:color="auto" w:sz="4" w:space="0"/>
              <w:left w:val="single" w:color="auto" w:sz="4" w:space="0"/>
              <w:bottom w:val="single" w:color="auto" w:sz="4" w:space="0"/>
              <w:right w:val="single" w:color="auto" w:sz="4" w:space="0"/>
            </w:tcBorders>
          </w:tcPr>
          <w:p>
            <w:pPr>
              <w:widowControl/>
              <w:jc w:val="left"/>
              <w:rPr>
                <w:rFonts w:ascii="新宋体" w:hAnsi="新宋体" w:eastAsia="新宋体" w:cs="新宋体"/>
                <w:color w:val="000000"/>
                <w:sz w:val="24"/>
              </w:rPr>
            </w:pPr>
            <w:r>
              <w:rPr>
                <w:rFonts w:hint="eastAsia" w:ascii="新宋体" w:hAnsi="新宋体" w:eastAsia="新宋体" w:cs="新宋体"/>
                <w:color w:val="000000"/>
                <w:sz w:val="24"/>
              </w:rPr>
              <w:t>以本次有效供应商响应报价中的最低价为基准价，报价得分=（基准价/响应报价）*</w:t>
            </w:r>
            <w:r>
              <w:rPr>
                <w:rFonts w:hint="eastAsia" w:ascii="新宋体" w:hAnsi="新宋体" w:eastAsia="新宋体" w:cs="新宋体"/>
                <w:color w:val="000000"/>
                <w:sz w:val="24"/>
                <w:lang w:val="en-US" w:eastAsia="zh-CN"/>
              </w:rPr>
              <w:t>3</w:t>
            </w:r>
            <w:r>
              <w:rPr>
                <w:rFonts w:hint="eastAsia" w:ascii="新宋体" w:hAnsi="新宋体" w:eastAsia="新宋体" w:cs="新宋体"/>
                <w:color w:val="000000"/>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09" w:type="dxa"/>
            <w:vMerge w:val="restart"/>
            <w:tcBorders>
              <w:top w:val="single" w:color="auto" w:sz="4" w:space="0"/>
              <w:left w:val="single" w:color="auto" w:sz="4" w:space="0"/>
              <w:bottom w:val="single" w:color="auto" w:sz="4" w:space="0"/>
              <w:right w:val="single" w:color="auto" w:sz="4" w:space="0"/>
            </w:tcBorders>
          </w:tcPr>
          <w:p>
            <w:pPr>
              <w:widowControl/>
              <w:jc w:val="center"/>
              <w:rPr>
                <w:rFonts w:ascii="新宋体" w:hAnsi="新宋体" w:eastAsia="新宋体" w:cs="新宋体"/>
                <w:color w:val="000000"/>
                <w:sz w:val="24"/>
              </w:rPr>
            </w:pPr>
            <w:r>
              <w:rPr>
                <w:rFonts w:hint="eastAsia" w:ascii="新宋体" w:hAnsi="新宋体" w:eastAsia="新宋体" w:cs="新宋体"/>
                <w:color w:val="000000"/>
                <w:sz w:val="24"/>
              </w:rPr>
              <w:t>业绩（10分）</w:t>
            </w:r>
          </w:p>
        </w:tc>
        <w:tc>
          <w:tcPr>
            <w:tcW w:w="7230" w:type="dxa"/>
            <w:vMerge w:val="restart"/>
            <w:tcBorders>
              <w:top w:val="single" w:color="auto" w:sz="4" w:space="0"/>
              <w:left w:val="single" w:color="auto" w:sz="4" w:space="0"/>
              <w:bottom w:val="single" w:color="auto" w:sz="4" w:space="0"/>
              <w:right w:val="single" w:color="auto" w:sz="4" w:space="0"/>
            </w:tcBorders>
          </w:tcPr>
          <w:p>
            <w:pPr>
              <w:widowControl/>
              <w:jc w:val="left"/>
              <w:rPr>
                <w:rFonts w:ascii="新宋体" w:hAnsi="新宋体" w:eastAsia="新宋体" w:cs="新宋体"/>
                <w:color w:val="000000"/>
                <w:sz w:val="24"/>
              </w:rPr>
            </w:pPr>
            <w:r>
              <w:rPr>
                <w:rFonts w:hint="eastAsia" w:ascii="新宋体" w:hAnsi="新宋体" w:eastAsia="新宋体" w:cs="新宋体"/>
                <w:color w:val="000000"/>
                <w:sz w:val="24"/>
              </w:rPr>
              <w:t>2018年1月1日至今，供应商具有放射相关类似业绩，每具有一个业绩得1分，最多得10分。（提供合同复印件并加盖公章）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000000"/>
                <w:sz w:val="24"/>
              </w:rPr>
            </w:pPr>
          </w:p>
        </w:tc>
        <w:tc>
          <w:tcPr>
            <w:tcW w:w="7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09" w:type="dxa"/>
            <w:vMerge w:val="restart"/>
            <w:tcBorders>
              <w:top w:val="single" w:color="auto" w:sz="4" w:space="0"/>
              <w:left w:val="single" w:color="auto" w:sz="4" w:space="0"/>
              <w:bottom w:val="single" w:color="auto" w:sz="4" w:space="0"/>
              <w:right w:val="single" w:color="auto" w:sz="4" w:space="0"/>
            </w:tcBorders>
          </w:tcPr>
          <w:p>
            <w:pPr>
              <w:widowControl/>
              <w:jc w:val="center"/>
              <w:rPr>
                <w:rFonts w:ascii="新宋体" w:hAnsi="新宋体" w:eastAsia="新宋体" w:cs="新宋体"/>
                <w:color w:val="000000"/>
                <w:sz w:val="24"/>
              </w:rPr>
            </w:pPr>
            <w:r>
              <w:rPr>
                <w:rFonts w:hint="eastAsia" w:ascii="新宋体" w:hAnsi="新宋体" w:eastAsia="新宋体" w:cs="新宋体"/>
                <w:color w:val="000000"/>
                <w:sz w:val="24"/>
              </w:rPr>
              <w:t>人员配置（</w:t>
            </w:r>
            <w:r>
              <w:rPr>
                <w:rFonts w:hint="eastAsia" w:ascii="新宋体" w:hAnsi="新宋体" w:eastAsia="新宋体" w:cs="新宋体"/>
                <w:color w:val="000000"/>
                <w:sz w:val="24"/>
                <w:lang w:val="en-US" w:eastAsia="zh-CN"/>
              </w:rPr>
              <w:t>1</w:t>
            </w:r>
            <w:r>
              <w:rPr>
                <w:rFonts w:hint="eastAsia" w:ascii="新宋体" w:hAnsi="新宋体" w:eastAsia="新宋体" w:cs="新宋体"/>
                <w:color w:val="000000"/>
                <w:sz w:val="24"/>
              </w:rPr>
              <w:t>5分）</w:t>
            </w:r>
          </w:p>
        </w:tc>
        <w:tc>
          <w:tcPr>
            <w:tcW w:w="7230" w:type="dxa"/>
            <w:vMerge w:val="restart"/>
            <w:tcBorders>
              <w:top w:val="single" w:color="auto" w:sz="4" w:space="0"/>
              <w:left w:val="single" w:color="auto" w:sz="4" w:space="0"/>
              <w:bottom w:val="single" w:color="auto" w:sz="4" w:space="0"/>
              <w:right w:val="single" w:color="auto" w:sz="4" w:space="0"/>
            </w:tcBorders>
          </w:tcPr>
          <w:p>
            <w:pPr>
              <w:widowControl/>
              <w:jc w:val="left"/>
              <w:rPr>
                <w:rFonts w:ascii="新宋体" w:hAnsi="新宋体" w:eastAsia="新宋体" w:cs="新宋体"/>
                <w:color w:val="000000"/>
                <w:sz w:val="24"/>
              </w:rPr>
            </w:pPr>
            <w:r>
              <w:rPr>
                <w:rFonts w:hint="eastAsia" w:ascii="新宋体" w:hAnsi="新宋体" w:eastAsia="新宋体" w:cs="新宋体"/>
                <w:color w:val="000000"/>
                <w:sz w:val="24"/>
              </w:rPr>
              <w:t>1.供应商拟投入本项目的服务团队人员充足、专业性强，能提供详细的服务团队人员名单信息得</w:t>
            </w:r>
            <w:r>
              <w:rPr>
                <w:rFonts w:hint="eastAsia" w:ascii="新宋体" w:hAnsi="新宋体" w:eastAsia="新宋体" w:cs="新宋体"/>
                <w:color w:val="000000"/>
                <w:sz w:val="24"/>
                <w:lang w:val="en-US" w:eastAsia="zh-CN"/>
              </w:rPr>
              <w:t>5</w:t>
            </w:r>
            <w:r>
              <w:rPr>
                <w:rFonts w:hint="eastAsia" w:ascii="新宋体" w:hAnsi="新宋体" w:eastAsia="新宋体" w:cs="新宋体"/>
                <w:color w:val="000000"/>
                <w:sz w:val="24"/>
              </w:rPr>
              <w:t>分；</w:t>
            </w:r>
          </w:p>
          <w:p>
            <w:pPr>
              <w:widowControl/>
              <w:jc w:val="left"/>
              <w:rPr>
                <w:rFonts w:ascii="新宋体" w:hAnsi="新宋体" w:eastAsia="新宋体" w:cs="新宋体"/>
                <w:color w:val="000000"/>
                <w:sz w:val="24"/>
              </w:rPr>
            </w:pPr>
            <w:r>
              <w:rPr>
                <w:rFonts w:hint="eastAsia" w:ascii="新宋体" w:hAnsi="新宋体" w:eastAsia="新宋体" w:cs="新宋体"/>
                <w:color w:val="000000"/>
                <w:sz w:val="24"/>
              </w:rPr>
              <w:t xml:space="preserve"> 2.供应商投入的服务团队成员每有一名为四川省放射卫生技术评审专家库成员的得</w:t>
            </w:r>
            <w:r>
              <w:rPr>
                <w:rFonts w:hint="eastAsia" w:ascii="新宋体" w:hAnsi="新宋体" w:eastAsia="新宋体" w:cs="新宋体"/>
                <w:color w:val="000000"/>
                <w:sz w:val="24"/>
                <w:lang w:val="en-US" w:eastAsia="zh-CN"/>
              </w:rPr>
              <w:t>3</w:t>
            </w:r>
            <w:r>
              <w:rPr>
                <w:rFonts w:hint="eastAsia" w:ascii="新宋体" w:hAnsi="新宋体" w:eastAsia="新宋体" w:cs="新宋体"/>
                <w:color w:val="000000"/>
                <w:sz w:val="24"/>
              </w:rPr>
              <w:t>分，最多</w:t>
            </w:r>
            <w:r>
              <w:rPr>
                <w:rFonts w:hint="eastAsia" w:ascii="新宋体" w:hAnsi="新宋体" w:eastAsia="新宋体" w:cs="新宋体"/>
                <w:color w:val="000000"/>
                <w:sz w:val="24"/>
                <w:lang w:val="en-US" w:eastAsia="zh-CN"/>
              </w:rPr>
              <w:t>6</w:t>
            </w:r>
            <w:r>
              <w:rPr>
                <w:rFonts w:hint="eastAsia" w:ascii="新宋体" w:hAnsi="新宋体" w:eastAsia="新宋体" w:cs="新宋体"/>
                <w:color w:val="000000"/>
                <w:sz w:val="24"/>
              </w:rPr>
              <w:t>分。每有一名为中国CDC放射检测与评价技术培训合格证书人员得</w:t>
            </w:r>
            <w:r>
              <w:rPr>
                <w:rFonts w:hint="eastAsia" w:ascii="新宋体" w:hAnsi="新宋体" w:eastAsia="新宋体" w:cs="新宋体"/>
                <w:color w:val="000000"/>
                <w:sz w:val="24"/>
                <w:lang w:val="en-US" w:eastAsia="zh-CN"/>
              </w:rPr>
              <w:t>4</w:t>
            </w:r>
            <w:r>
              <w:rPr>
                <w:rFonts w:hint="eastAsia" w:ascii="新宋体" w:hAnsi="新宋体" w:eastAsia="新宋体" w:cs="新宋体"/>
                <w:color w:val="000000"/>
                <w:sz w:val="24"/>
              </w:rPr>
              <w:t>分，最多</w:t>
            </w:r>
            <w:r>
              <w:rPr>
                <w:rFonts w:hint="eastAsia" w:ascii="新宋体" w:hAnsi="新宋体" w:eastAsia="新宋体" w:cs="新宋体"/>
                <w:color w:val="000000"/>
                <w:sz w:val="24"/>
                <w:lang w:val="en-US" w:eastAsia="zh-CN"/>
              </w:rPr>
              <w:t>4</w:t>
            </w:r>
            <w:r>
              <w:rPr>
                <w:rFonts w:hint="eastAsia" w:ascii="新宋体" w:hAnsi="新宋体" w:eastAsia="新宋体" w:cs="新宋体"/>
                <w:color w:val="000000"/>
                <w:sz w:val="24"/>
              </w:rPr>
              <w:t>分。（提供相应文件或证书复印件并加盖公章）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000000"/>
                <w:sz w:val="24"/>
              </w:rPr>
            </w:pPr>
          </w:p>
        </w:tc>
        <w:tc>
          <w:tcPr>
            <w:tcW w:w="7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09" w:type="dxa"/>
            <w:vMerge w:val="restart"/>
            <w:tcBorders>
              <w:top w:val="single" w:color="auto" w:sz="4" w:space="0"/>
              <w:left w:val="single" w:color="auto" w:sz="4" w:space="0"/>
              <w:bottom w:val="single" w:color="auto" w:sz="4" w:space="0"/>
              <w:right w:val="single" w:color="auto" w:sz="4" w:space="0"/>
            </w:tcBorders>
            <w:noWrap/>
          </w:tcPr>
          <w:p>
            <w:pPr>
              <w:widowControl/>
              <w:jc w:val="center"/>
              <w:rPr>
                <w:rFonts w:ascii="新宋体" w:hAnsi="新宋体" w:eastAsia="新宋体" w:cs="新宋体"/>
                <w:color w:val="000000"/>
                <w:sz w:val="24"/>
              </w:rPr>
            </w:pPr>
            <w:r>
              <w:rPr>
                <w:rFonts w:hint="eastAsia" w:ascii="新宋体" w:hAnsi="新宋体" w:eastAsia="新宋体" w:cs="新宋体"/>
                <w:color w:val="000000"/>
                <w:sz w:val="24"/>
              </w:rPr>
              <w:t>方案及要求（</w:t>
            </w:r>
            <w:r>
              <w:rPr>
                <w:rFonts w:hint="eastAsia" w:ascii="新宋体" w:hAnsi="新宋体" w:eastAsia="新宋体" w:cs="新宋体"/>
                <w:color w:val="000000"/>
                <w:sz w:val="24"/>
                <w:lang w:val="en-US" w:eastAsia="zh-CN"/>
              </w:rPr>
              <w:t>2</w:t>
            </w:r>
            <w:r>
              <w:rPr>
                <w:rFonts w:hint="eastAsia" w:ascii="新宋体" w:hAnsi="新宋体" w:eastAsia="新宋体" w:cs="新宋体"/>
                <w:color w:val="000000"/>
                <w:sz w:val="24"/>
              </w:rPr>
              <w:t>5分）</w:t>
            </w:r>
          </w:p>
        </w:tc>
        <w:tc>
          <w:tcPr>
            <w:tcW w:w="7230" w:type="dxa"/>
            <w:vMerge w:val="restart"/>
            <w:tcBorders>
              <w:top w:val="single" w:color="auto" w:sz="4" w:space="0"/>
              <w:left w:val="single" w:color="auto" w:sz="4" w:space="0"/>
              <w:bottom w:val="single" w:color="auto" w:sz="4" w:space="0"/>
              <w:right w:val="single" w:color="auto" w:sz="4" w:space="0"/>
            </w:tcBorders>
          </w:tcPr>
          <w:p>
            <w:pPr>
              <w:widowControl/>
              <w:jc w:val="left"/>
              <w:rPr>
                <w:rFonts w:ascii="新宋体" w:hAnsi="新宋体" w:eastAsia="新宋体" w:cs="新宋体"/>
                <w:color w:val="000000"/>
                <w:sz w:val="24"/>
              </w:rPr>
            </w:pPr>
            <w:r>
              <w:rPr>
                <w:rFonts w:hint="eastAsia" w:ascii="新宋体" w:hAnsi="新宋体" w:eastAsia="新宋体" w:cs="新宋体"/>
                <w:color w:val="000000"/>
                <w:sz w:val="24"/>
              </w:rPr>
              <w:t>根据供应商提供服务方案进行综合评审，方案包括：①项目的统筹安排（含服务内容、服务整体流程等）、②组织措施、③项目进度计划及人员安排等内容、④服务质量的保障措施、</w:t>
            </w:r>
            <w:r>
              <w:rPr>
                <w:rFonts w:hint="eastAsia" w:ascii="新宋体" w:hAnsi="新宋体" w:eastAsia="新宋体" w:cs="新宋体"/>
                <w:color w:val="000000"/>
                <w:sz w:val="24"/>
              </w:rPr>
              <w:fldChar w:fldCharType="begin"/>
            </w:r>
            <w:r>
              <w:rPr>
                <w:rFonts w:hint="eastAsia" w:ascii="新宋体" w:hAnsi="新宋体" w:eastAsia="新宋体" w:cs="新宋体"/>
                <w:color w:val="000000"/>
                <w:sz w:val="24"/>
              </w:rPr>
              <w:instrText xml:space="preserve"> = 5 \* GB3 \* MERGEFORMAT </w:instrText>
            </w:r>
            <w:r>
              <w:rPr>
                <w:rFonts w:hint="eastAsia" w:ascii="新宋体" w:hAnsi="新宋体" w:eastAsia="新宋体" w:cs="新宋体"/>
                <w:color w:val="000000"/>
                <w:sz w:val="24"/>
              </w:rPr>
              <w:fldChar w:fldCharType="separate"/>
            </w:r>
            <w:r>
              <w:rPr>
                <w:rFonts w:hint="eastAsia" w:ascii="新宋体" w:hAnsi="新宋体" w:eastAsia="新宋体" w:cs="新宋体"/>
                <w:color w:val="000000"/>
                <w:sz w:val="24"/>
              </w:rPr>
              <w:t>⑤</w:t>
            </w:r>
            <w:r>
              <w:rPr>
                <w:rFonts w:hint="eastAsia" w:ascii="新宋体" w:hAnsi="新宋体" w:eastAsia="新宋体" w:cs="新宋体"/>
                <w:color w:val="000000"/>
                <w:sz w:val="24"/>
              </w:rPr>
              <w:fldChar w:fldCharType="end"/>
            </w:r>
            <w:r>
              <w:rPr>
                <w:rFonts w:hint="eastAsia" w:ascii="新宋体" w:hAnsi="新宋体" w:eastAsia="新宋体" w:cs="新宋体"/>
                <w:color w:val="000000"/>
                <w:sz w:val="24"/>
              </w:rPr>
              <w:t>与采购人的沟通协调措施等，服务方案完全包含以上几点，要素齐全且完全符合采购文件要求及实际需求的得</w:t>
            </w:r>
            <w:r>
              <w:rPr>
                <w:rFonts w:hint="eastAsia" w:ascii="新宋体" w:hAnsi="新宋体" w:eastAsia="新宋体" w:cs="新宋体"/>
                <w:color w:val="000000"/>
                <w:sz w:val="24"/>
                <w:lang w:val="en-US" w:eastAsia="zh-CN"/>
              </w:rPr>
              <w:t>20</w:t>
            </w:r>
            <w:r>
              <w:rPr>
                <w:rFonts w:hint="eastAsia" w:ascii="新宋体" w:hAnsi="新宋体" w:eastAsia="新宋体" w:cs="新宋体"/>
                <w:color w:val="000000"/>
                <w:sz w:val="24"/>
              </w:rPr>
              <w:t>分，每有一项内容缺失或内容非专门针对本项目，或内容不能满足本项目实际需要的扣</w:t>
            </w:r>
            <w:r>
              <w:rPr>
                <w:rFonts w:hint="eastAsia" w:ascii="新宋体" w:hAnsi="新宋体" w:eastAsia="新宋体" w:cs="新宋体"/>
                <w:color w:val="000000"/>
                <w:sz w:val="24"/>
                <w:lang w:val="en-US" w:eastAsia="zh-CN"/>
              </w:rPr>
              <w:t>4</w:t>
            </w:r>
            <w:r>
              <w:rPr>
                <w:rFonts w:hint="eastAsia" w:ascii="新宋体" w:hAnsi="新宋体" w:eastAsia="新宋体" w:cs="新宋体"/>
                <w:color w:val="000000"/>
                <w:sz w:val="24"/>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000000"/>
                <w:sz w:val="24"/>
              </w:rPr>
            </w:pPr>
          </w:p>
        </w:tc>
        <w:tc>
          <w:tcPr>
            <w:tcW w:w="7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09"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cs="新宋体"/>
                <w:color w:val="000000"/>
                <w:sz w:val="24"/>
              </w:rPr>
            </w:pPr>
            <w:r>
              <w:rPr>
                <w:rFonts w:hint="eastAsia" w:ascii="新宋体" w:hAnsi="新宋体" w:eastAsia="新宋体" w:cs="新宋体"/>
                <w:color w:val="000000"/>
                <w:sz w:val="24"/>
              </w:rPr>
              <w:t>公司实力及信誉（15分）</w:t>
            </w:r>
          </w:p>
        </w:tc>
        <w:tc>
          <w:tcPr>
            <w:tcW w:w="7230" w:type="dxa"/>
            <w:tcBorders>
              <w:top w:val="single" w:color="auto" w:sz="4" w:space="0"/>
              <w:left w:val="single" w:color="auto" w:sz="4" w:space="0"/>
              <w:bottom w:val="single" w:color="auto" w:sz="4" w:space="0"/>
              <w:right w:val="single" w:color="auto" w:sz="4" w:space="0"/>
            </w:tcBorders>
          </w:tcPr>
          <w:p>
            <w:pPr>
              <w:widowControl/>
              <w:jc w:val="left"/>
              <w:rPr>
                <w:rFonts w:ascii="新宋体" w:hAnsi="新宋体" w:eastAsia="新宋体" w:cs="新宋体"/>
                <w:color w:val="000000"/>
                <w:sz w:val="24"/>
              </w:rPr>
            </w:pPr>
            <w:r>
              <w:rPr>
                <w:rFonts w:hint="eastAsia" w:ascii="新宋体" w:hAnsi="新宋体" w:eastAsia="新宋体" w:cs="新宋体"/>
                <w:color w:val="000000"/>
                <w:sz w:val="24"/>
              </w:rPr>
              <w:t>供应商具有ISO认证体系，得5分；具有3A信用等级认证证书，得5分，具有放射卫生技术服务机构甲级资质证书的得5分，乙级不得分。（提供相关证书复印件并加盖公章）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09" w:type="dxa"/>
            <w:tcBorders>
              <w:top w:val="single" w:color="auto" w:sz="4" w:space="0"/>
              <w:left w:val="single" w:color="auto" w:sz="4" w:space="0"/>
              <w:bottom w:val="single" w:color="auto" w:sz="4" w:space="0"/>
              <w:right w:val="single" w:color="auto" w:sz="4" w:space="0"/>
            </w:tcBorders>
          </w:tcPr>
          <w:p>
            <w:pPr>
              <w:widowControl/>
              <w:jc w:val="center"/>
              <w:rPr>
                <w:rFonts w:ascii="新宋体" w:hAnsi="新宋体" w:eastAsia="新宋体" w:cs="新宋体"/>
                <w:color w:val="000000"/>
                <w:sz w:val="24"/>
              </w:rPr>
            </w:pPr>
            <w:r>
              <w:rPr>
                <w:rFonts w:hint="eastAsia" w:ascii="新宋体" w:hAnsi="新宋体" w:eastAsia="新宋体" w:cs="新宋体"/>
                <w:color w:val="000000"/>
                <w:sz w:val="24"/>
              </w:rPr>
              <w:t>文件规范性（5分）</w:t>
            </w:r>
          </w:p>
        </w:tc>
        <w:tc>
          <w:tcPr>
            <w:tcW w:w="7230" w:type="dxa"/>
            <w:tcBorders>
              <w:top w:val="single" w:color="auto" w:sz="4" w:space="0"/>
              <w:left w:val="single" w:color="auto" w:sz="4" w:space="0"/>
              <w:bottom w:val="single" w:color="auto" w:sz="4" w:space="0"/>
              <w:right w:val="single" w:color="auto" w:sz="4" w:space="0"/>
            </w:tcBorders>
          </w:tcPr>
          <w:p>
            <w:pPr>
              <w:widowControl/>
              <w:jc w:val="left"/>
              <w:rPr>
                <w:rFonts w:ascii="新宋体" w:hAnsi="新宋体" w:eastAsia="新宋体" w:cs="新宋体"/>
                <w:color w:val="000000"/>
                <w:sz w:val="24"/>
              </w:rPr>
            </w:pPr>
            <w:r>
              <w:rPr>
                <w:rFonts w:hint="eastAsia" w:ascii="新宋体" w:hAnsi="新宋体" w:eastAsia="新宋体" w:cs="新宋体"/>
                <w:color w:val="000000"/>
                <w:sz w:val="24"/>
              </w:rPr>
              <w:t>响应文件制作规范，有目录、页码，响应文件按评分表中的项目次序归类装订得5分，每有一项问题扣1分，扣完为止。</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CF1D2"/>
    <w:multiLevelType w:val="singleLevel"/>
    <w:tmpl w:val="1C3CF1D2"/>
    <w:lvl w:ilvl="0" w:tentative="0">
      <w:start w:val="2"/>
      <w:numFmt w:val="chineseCounting"/>
      <w:suff w:val="nothing"/>
      <w:lvlText w:val="%1、"/>
      <w:lvlJc w:val="left"/>
      <w:rPr>
        <w:rFonts w:hint="eastAsia"/>
      </w:rPr>
    </w:lvl>
  </w:abstractNum>
  <w:abstractNum w:abstractNumId="1">
    <w:nsid w:val="54FD38D5"/>
    <w:multiLevelType w:val="multilevel"/>
    <w:tmpl w:val="54FD38D5"/>
    <w:lvl w:ilvl="0" w:tentative="0">
      <w:start w:val="1"/>
      <w:numFmt w:val="decimal"/>
      <w:lvlText w:val="%1."/>
      <w:lvlJc w:val="left"/>
      <w:pPr>
        <w:tabs>
          <w:tab w:val="left" w:pos="420"/>
        </w:tabs>
        <w:ind w:left="420" w:hanging="420"/>
      </w:pPr>
      <w:rPr>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5122"/>
    <w:rsid w:val="001831A9"/>
    <w:rsid w:val="00351BE4"/>
    <w:rsid w:val="00496B1E"/>
    <w:rsid w:val="005254B9"/>
    <w:rsid w:val="00563EB5"/>
    <w:rsid w:val="00566F6F"/>
    <w:rsid w:val="007133C2"/>
    <w:rsid w:val="007539CA"/>
    <w:rsid w:val="007955DF"/>
    <w:rsid w:val="007A3692"/>
    <w:rsid w:val="007E5BDA"/>
    <w:rsid w:val="00884552"/>
    <w:rsid w:val="009403DC"/>
    <w:rsid w:val="009A16F6"/>
    <w:rsid w:val="00A07298"/>
    <w:rsid w:val="00A223B7"/>
    <w:rsid w:val="00B45EC4"/>
    <w:rsid w:val="00D1605E"/>
    <w:rsid w:val="00D37450"/>
    <w:rsid w:val="00FB34D7"/>
    <w:rsid w:val="00FE5122"/>
    <w:rsid w:val="05B80BDC"/>
    <w:rsid w:val="19BA631A"/>
    <w:rsid w:val="24404664"/>
    <w:rsid w:val="384813D1"/>
    <w:rsid w:val="4CF4750A"/>
    <w:rsid w:val="645B0032"/>
    <w:rsid w:val="7B7425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9"/>
    <w:pPr>
      <w:keepNext/>
      <w:spacing w:before="240" w:after="60"/>
      <w:outlineLvl w:val="3"/>
    </w:pPr>
    <w:rPr>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semiHidden/>
    <w:unhideWhenUsed/>
    <w:qFormat/>
    <w:uiPriority w:val="99"/>
    <w:pPr>
      <w:spacing w:after="120" w:line="480" w:lineRule="auto"/>
      <w:ind w:left="420" w:leftChars="200"/>
    </w:pPr>
  </w:style>
  <w:style w:type="paragraph" w:styleId="5">
    <w:name w:val="Body Text"/>
    <w:basedOn w:val="1"/>
    <w:next w:val="1"/>
    <w:qFormat/>
    <w:uiPriority w:val="0"/>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font31"/>
    <w:qFormat/>
    <w:uiPriority w:val="0"/>
    <w:rPr>
      <w:rFonts w:hint="eastAsia" w:ascii="宋体" w:hAnsi="宋体" w:eastAsia="宋体" w:cs="宋体"/>
      <w:color w:val="000000"/>
      <w:sz w:val="21"/>
      <w:szCs w:val="21"/>
      <w:u w:val="none"/>
    </w:rPr>
  </w:style>
  <w:style w:type="character" w:customStyle="1" w:styleId="12">
    <w:name w:val="页眉 Char"/>
    <w:basedOn w:val="10"/>
    <w:link w:val="7"/>
    <w:qFormat/>
    <w:uiPriority w:val="0"/>
    <w:rPr>
      <w:rFonts w:ascii="Times New Roman" w:hAnsi="Times New Roman" w:eastAsia="宋体" w:cs="Times New Roman"/>
      <w:kern w:val="2"/>
      <w:sz w:val="18"/>
      <w:szCs w:val="18"/>
    </w:rPr>
  </w:style>
  <w:style w:type="character" w:customStyle="1" w:styleId="13">
    <w:name w:val="页脚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449</Words>
  <Characters>2563</Characters>
  <Lines>21</Lines>
  <Paragraphs>6</Paragraphs>
  <TotalTime>52</TotalTime>
  <ScaleCrop>false</ScaleCrop>
  <LinksUpToDate>false</LinksUpToDate>
  <CharactersWithSpaces>3006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2021-11-15T05:49:00Z</dcterms:created>
  <dc:creator>WANG</dc:creator>
  <cp:lastModifiedBy>赵付伟</cp:lastModifiedBy>
  <dcterms:modified xsi:type="dcterms:W3CDTF">2021-12-13T01:00:33Z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7351B9DFD8DA40A08E307D9A91307C7B</vt:lpwstr>
  </property>
</Properties>
</file>