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1.产品名称：</w:t>
      </w:r>
      <w:r>
        <w:rPr>
          <w:rFonts w:hint="eastAsia" w:ascii="仿宋_GB2312" w:hAnsi="Segoe UI" w:eastAsia="仿宋_GB2312" w:cs="Segoe UI"/>
          <w:color w:val="333333"/>
          <w:spacing w:val="8"/>
          <w:kern w:val="0"/>
          <w:sz w:val="24"/>
          <w:szCs w:val="24"/>
          <w:lang w:val="en-US" w:eastAsia="zh-CN"/>
        </w:rPr>
        <w:t>缓冲生理海水鼻腔护理喷雾器</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081" w:type="dxa"/>
        <w:tblInd w:w="0" w:type="dxa"/>
        <w:tblLayout w:type="autofit"/>
        <w:tblCellMar>
          <w:top w:w="0" w:type="dxa"/>
          <w:left w:w="0" w:type="dxa"/>
          <w:bottom w:w="0" w:type="dxa"/>
          <w:right w:w="0" w:type="dxa"/>
        </w:tblCellMar>
      </w:tblPr>
      <w:tblGrid>
        <w:gridCol w:w="851"/>
        <w:gridCol w:w="1701"/>
        <w:gridCol w:w="5529"/>
      </w:tblGrid>
      <w:tr>
        <w:tblPrEx>
          <w:tblCellMar>
            <w:top w:w="0" w:type="dxa"/>
            <w:left w:w="0" w:type="dxa"/>
            <w:bottom w:w="0" w:type="dxa"/>
            <w:right w:w="0" w:type="dxa"/>
          </w:tblCellMar>
        </w:tblPrEx>
        <w:trPr>
          <w:trHeight w:val="472"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55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sz w:val="24"/>
                <w:szCs w:val="24"/>
              </w:rPr>
            </w:pPr>
            <w:r>
              <w:rPr>
                <w:rFonts w:hint="eastAsia" w:ascii="仿宋" w:hAnsi="仿宋" w:eastAsia="仿宋"/>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缓冲生理海水鼻腔护理喷雾器</w:t>
            </w:r>
          </w:p>
        </w:tc>
        <w:tc>
          <w:tcPr>
            <w:tcW w:w="55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480" w:lineRule="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结构及组成:由</w:t>
            </w:r>
            <w:r>
              <w:rPr>
                <w:rFonts w:hint="eastAsia" w:ascii="仿宋" w:hAnsi="仿宋" w:eastAsia="仿宋" w:cs="仿宋"/>
                <w:sz w:val="21"/>
                <w:szCs w:val="21"/>
                <w:lang w:val="en-US" w:eastAsia="zh-CN"/>
              </w:rPr>
              <w:t>瓶体、手动泵、喷嘴、防尘罩及弱酸性缓冲生理海水</w:t>
            </w:r>
            <w:r>
              <w:rPr>
                <w:rFonts w:hint="eastAsia" w:ascii="仿宋" w:hAnsi="仿宋" w:eastAsia="仿宋" w:cs="仿宋"/>
                <w:sz w:val="21"/>
                <w:szCs w:val="21"/>
              </w:rPr>
              <w:t>组成。</w:t>
            </w:r>
          </w:p>
          <w:p>
            <w:pPr>
              <w:spacing w:line="480" w:lineRule="auto"/>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规格</w:t>
            </w:r>
            <w:r>
              <w:rPr>
                <w:rFonts w:hint="eastAsia" w:ascii="仿宋" w:hAnsi="仿宋" w:eastAsia="仿宋" w:cs="仿宋"/>
                <w:sz w:val="21"/>
                <w:szCs w:val="21"/>
                <w:lang w:val="en-US" w:eastAsia="zh-CN"/>
              </w:rPr>
              <w:t>型号</w:t>
            </w:r>
            <w:r>
              <w:rPr>
                <w:rFonts w:hint="eastAsia" w:ascii="仿宋" w:hAnsi="仿宋" w:eastAsia="仿宋" w:cs="仿宋"/>
                <w:sz w:val="21"/>
                <w:szCs w:val="21"/>
              </w:rPr>
              <w:t>：多规格供选择，包括</w:t>
            </w:r>
            <w:r>
              <w:rPr>
                <w:rFonts w:hint="eastAsia" w:ascii="仿宋" w:hAnsi="仿宋" w:eastAsia="仿宋" w:cs="仿宋"/>
                <w:sz w:val="21"/>
                <w:szCs w:val="21"/>
                <w:lang w:val="en-US" w:eastAsia="zh-CN"/>
              </w:rPr>
              <w:t>50</w:t>
            </w:r>
            <w:r>
              <w:rPr>
                <w:rFonts w:hint="eastAsia" w:ascii="仿宋" w:hAnsi="仿宋" w:eastAsia="仿宋" w:cs="仿宋"/>
                <w:sz w:val="21"/>
                <w:szCs w:val="21"/>
              </w:rPr>
              <w:t>mL/瓶、</w:t>
            </w:r>
            <w:r>
              <w:rPr>
                <w:rFonts w:hint="eastAsia" w:ascii="仿宋" w:hAnsi="仿宋" w:eastAsia="仿宋" w:cs="仿宋"/>
                <w:sz w:val="21"/>
                <w:szCs w:val="21"/>
                <w:lang w:val="en-US" w:eastAsia="zh-CN"/>
              </w:rPr>
              <w:t>60</w:t>
            </w:r>
            <w:r>
              <w:rPr>
                <w:rFonts w:hint="eastAsia" w:ascii="仿宋" w:hAnsi="仿宋" w:eastAsia="仿宋" w:cs="仿宋"/>
                <w:sz w:val="21"/>
                <w:szCs w:val="21"/>
              </w:rPr>
              <w:t>mL/瓶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70</w:t>
            </w:r>
            <w:r>
              <w:rPr>
                <w:rFonts w:hint="eastAsia" w:ascii="仿宋" w:hAnsi="仿宋" w:eastAsia="仿宋" w:cs="仿宋"/>
                <w:sz w:val="21"/>
                <w:szCs w:val="21"/>
              </w:rPr>
              <w:t>mL/瓶</w:t>
            </w:r>
            <w:r>
              <w:rPr>
                <w:rFonts w:hint="eastAsia" w:ascii="仿宋" w:hAnsi="仿宋" w:eastAsia="仿宋" w:cs="仿宋"/>
                <w:sz w:val="21"/>
                <w:szCs w:val="21"/>
                <w:lang w:eastAsia="zh-CN"/>
              </w:rPr>
              <w:t>。</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适用范围：适用于</w:t>
            </w:r>
            <w:r>
              <w:rPr>
                <w:rFonts w:hint="eastAsia" w:ascii="仿宋" w:hAnsi="仿宋" w:eastAsia="仿宋" w:cs="仿宋"/>
                <w:sz w:val="21"/>
                <w:szCs w:val="21"/>
                <w:lang w:val="en-US" w:eastAsia="zh-CN"/>
              </w:rPr>
              <w:t>慢性鼻炎、鼻窦炎等引起鼻腔不适症，鼻腔黏膜的清洗、湿润和护理。</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有效含量：</w:t>
            </w:r>
            <w:r>
              <w:rPr>
                <w:rFonts w:hint="eastAsia" w:ascii="仿宋" w:hAnsi="仿宋" w:eastAsia="仿宋" w:cs="仿宋"/>
                <w:sz w:val="21"/>
                <w:szCs w:val="21"/>
                <w:lang w:val="en-US" w:eastAsia="zh-CN"/>
              </w:rPr>
              <w:t>氯化钠含量8.5-9.5g/L。</w:t>
            </w:r>
          </w:p>
          <w:p>
            <w:pPr>
              <w:spacing w:line="480" w:lineRule="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PH值：ph</w:t>
            </w:r>
            <w:r>
              <w:rPr>
                <w:rFonts w:hint="eastAsia" w:ascii="仿宋" w:hAnsi="仿宋" w:eastAsia="仿宋" w:cs="仿宋"/>
                <w:sz w:val="21"/>
                <w:szCs w:val="21"/>
                <w:lang w:val="en-US" w:eastAsia="zh-CN"/>
              </w:rPr>
              <w:t>5.5-6.5</w:t>
            </w:r>
            <w:r>
              <w:rPr>
                <w:rFonts w:hint="eastAsia" w:ascii="仿宋" w:hAnsi="仿宋" w:eastAsia="仿宋" w:cs="仿宋"/>
                <w:sz w:val="21"/>
                <w:szCs w:val="21"/>
              </w:rPr>
              <w:t>。</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6.微生物指标：细菌菌落总数≤100cfu/mL；真菌菌落总数≤20cfu/mL；大肠杆菌和致病化脓菌不得检出。</w:t>
            </w:r>
          </w:p>
          <w:p>
            <w:pPr>
              <w:spacing w:line="480" w:lineRule="auto"/>
              <w:rPr>
                <w:rFonts w:hint="eastAsia" w:ascii="仿宋" w:hAnsi="仿宋" w:eastAsia="仿宋" w:cs="仿宋"/>
                <w:sz w:val="21"/>
                <w:szCs w:val="21"/>
                <w:lang w:val="en-US" w:eastAsia="zh-CN"/>
              </w:rPr>
            </w:pPr>
            <w:r>
              <w:rPr>
                <w:rFonts w:hint="eastAsia" w:ascii="仿宋" w:hAnsi="仿宋" w:eastAsia="仿宋" w:cs="仿宋"/>
                <w:sz w:val="21"/>
                <w:szCs w:val="21"/>
              </w:rPr>
              <w:t>7</w:t>
            </w:r>
            <w:r>
              <w:rPr>
                <w:rFonts w:hint="eastAsia" w:ascii="仿宋" w:hAnsi="仿宋" w:eastAsia="仿宋" w:cs="仿宋"/>
                <w:sz w:val="21"/>
                <w:szCs w:val="21"/>
                <w:lang w:val="en-US" w:eastAsia="zh-CN"/>
              </w:rPr>
              <w:t>.密封性及喷雾距离：喷雾器密封良好，无泄漏；喷雾距离应不低于200mm。</w:t>
            </w:r>
          </w:p>
          <w:p>
            <w:pPr>
              <w:widowControl/>
              <w:spacing w:line="380" w:lineRule="exact"/>
              <w:jc w:val="left"/>
              <w:textAlignment w:val="center"/>
              <w:rPr>
                <w:rFonts w:ascii="仿宋" w:hAnsi="仿宋" w:eastAsia="仿宋" w:cs="宋体"/>
                <w:color w:val="000000"/>
                <w:kern w:val="0"/>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w:t>
            </w:r>
            <w:r>
              <w:rPr>
                <w:rFonts w:hint="eastAsia" w:ascii="仿宋" w:hAnsi="仿宋" w:eastAsia="仿宋" w:cs="仿宋"/>
                <w:sz w:val="21"/>
                <w:szCs w:val="21"/>
              </w:rPr>
              <w:t>产品有效期：≥</w:t>
            </w:r>
            <w:r>
              <w:rPr>
                <w:rFonts w:hint="eastAsia" w:ascii="仿宋" w:hAnsi="仿宋" w:eastAsia="仿宋" w:cs="仿宋"/>
                <w:sz w:val="21"/>
                <w:szCs w:val="21"/>
                <w:lang w:val="en-US" w:eastAsia="zh-CN"/>
              </w:rPr>
              <w:t>2</w:t>
            </w:r>
            <w:r>
              <w:rPr>
                <w:rFonts w:hint="eastAsia" w:ascii="仿宋" w:hAnsi="仿宋" w:eastAsia="仿宋" w:cs="仿宋"/>
                <w:sz w:val="21"/>
                <w:szCs w:val="21"/>
              </w:rPr>
              <w:t>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spacing w:line="360" w:lineRule="auto"/>
        <w:jc w:val="left"/>
        <w:rPr>
          <w:rFonts w:hint="eastAsia" w:ascii="仿宋_GB2312" w:hAnsi="Segoe UI" w:eastAsia="仿宋_GB2312" w:cs="Segoe UI"/>
          <w:b w:val="0"/>
          <w:bCs/>
          <w:spacing w:val="8"/>
          <w:kern w:val="0"/>
          <w:sz w:val="24"/>
          <w:szCs w:val="24"/>
        </w:rPr>
      </w:pPr>
      <w:r>
        <w:rPr>
          <w:rFonts w:hint="eastAsia" w:ascii="仿宋_GB2312" w:hAnsi="Segoe UI" w:eastAsia="仿宋_GB2312" w:cs="Segoe UI"/>
          <w:color w:val="333333"/>
          <w:spacing w:val="8"/>
          <w:kern w:val="0"/>
          <w:sz w:val="32"/>
          <w:szCs w:val="32"/>
        </w:rPr>
        <w:t>▲</w:t>
      </w: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b w:val="0"/>
          <w:bCs/>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r>
        <w:rPr>
          <w:rFonts w:ascii="微软雅黑" w:hAnsi="微软雅黑" w:eastAsia="微软雅黑" w:cs="微软雅黑"/>
          <w:sz w:val="18"/>
          <w:szCs w:val="18"/>
        </w:rPr>
        <w:t>、</w:t>
      </w:r>
      <w:r>
        <w:rPr>
          <w:rFonts w:hint="eastAsia" w:ascii="仿宋_GB2312" w:hAnsi="Segoe UI" w:eastAsia="仿宋_GB2312" w:cs="Segoe UI"/>
          <w:b w:val="0"/>
          <w:bCs/>
          <w:spacing w:val="8"/>
          <w:kern w:val="0"/>
          <w:sz w:val="24"/>
          <w:szCs w:val="24"/>
        </w:rPr>
        <w:t>医保编码。</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.2若产品有多种规格型号且价格不同，供应商应按型号分项报价，价格评分细则详见附件2；</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p>
    <w:p>
      <w:pPr>
        <w:widowControl/>
        <w:shd w:val="clear" w:color="auto" w:fill="FFFFFF"/>
        <w:wordWrap w:val="0"/>
        <w:jc w:val="left"/>
      </w:pPr>
      <w:r>
        <w:rPr>
          <w:rFonts w:hint="eastAsia" w:ascii="仿宋_GB2312" w:hAnsi="Segoe UI" w:eastAsia="仿宋_GB2312" w:cs="Segoe UI"/>
          <w:color w:val="333333"/>
          <w:spacing w:val="8"/>
          <w:kern w:val="0"/>
          <w:sz w:val="24"/>
          <w:szCs w:val="24"/>
        </w:rPr>
        <w:t>以上打▲号的条款为本次招标项目的实质性要求，不允许有负偏离。</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投标报价</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30</w:t>
            </w:r>
            <w:r>
              <w:rPr>
                <w:rFonts w:hint="eastAsia" w:cs="Segoe UI" w:asciiTheme="minorEastAsia" w:hAnsiTheme="minorEastAsia"/>
                <w:color w:val="000000"/>
                <w:kern w:val="0"/>
                <w:szCs w:val="21"/>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1.价格分：</w:t>
            </w:r>
          </w:p>
          <w:p>
            <w:pPr>
              <w:widowControl/>
              <w:wordWrap w:val="0"/>
              <w:spacing w:line="270" w:lineRule="atLeast"/>
              <w:jc w:val="left"/>
              <w:rPr>
                <w:rFonts w:hint="default" w:cs="Segoe UI" w:asciiTheme="minorEastAsia" w:hAnsiTheme="minorEastAsia" w:eastAsiaTheme="minorEastAsia"/>
                <w:kern w:val="0"/>
                <w:szCs w:val="21"/>
                <w:lang w:val="en-US" w:eastAsia="zh-CN"/>
              </w:rPr>
            </w:pPr>
            <w:r>
              <w:rPr>
                <w:rFonts w:hint="eastAsia" w:cs="Segoe UI" w:asciiTheme="minorEastAsia" w:hAnsiTheme="minorEastAsia"/>
                <w:kern w:val="0"/>
                <w:szCs w:val="21"/>
              </w:rPr>
              <w:t>投标材料满足招标文件要求且以</w:t>
            </w:r>
            <w:r>
              <w:rPr>
                <w:rFonts w:hint="eastAsia" w:cs="Segoe UI" w:asciiTheme="minorEastAsia" w:hAnsiTheme="minorEastAsia"/>
                <w:b/>
                <w:kern w:val="0"/>
                <w:szCs w:val="21"/>
              </w:rPr>
              <w:t>投标总价</w:t>
            </w:r>
            <w:r>
              <w:rPr>
                <w:rFonts w:hint="eastAsia" w:cs="Segoe UI" w:asciiTheme="minorEastAsia" w:hAnsiTheme="minorEastAsia"/>
                <w:kern w:val="0"/>
                <w:szCs w:val="21"/>
              </w:rPr>
              <w:t>最低的为</w:t>
            </w:r>
            <w:r>
              <w:rPr>
                <w:rFonts w:hint="eastAsia" w:cs="Segoe UI" w:asciiTheme="minorEastAsia" w:hAnsiTheme="minorEastAsia"/>
                <w:b/>
                <w:kern w:val="0"/>
                <w:szCs w:val="21"/>
              </w:rPr>
              <w:t>评标基准价</w:t>
            </w:r>
            <w:r>
              <w:rPr>
                <w:rFonts w:hint="eastAsia" w:cs="Segoe UI" w:asciiTheme="minorEastAsia" w:hAnsiTheme="minorEastAsia"/>
                <w:kern w:val="0"/>
                <w:szCs w:val="21"/>
              </w:rPr>
              <w:t>，其价格分为</w:t>
            </w:r>
            <w:r>
              <w:rPr>
                <w:rFonts w:hint="eastAsia" w:cs="Segoe UI" w:asciiTheme="minorEastAsia" w:hAnsiTheme="minorEastAsia"/>
                <w:kern w:val="0"/>
                <w:szCs w:val="21"/>
                <w:lang w:val="en-US" w:eastAsia="zh-CN"/>
              </w:rPr>
              <w:t>30</w:t>
            </w:r>
            <w:r>
              <w:rPr>
                <w:rFonts w:hint="eastAsia" w:cs="Segoe UI" w:asciiTheme="minorEastAsia" w:hAnsiTheme="minorEastAsia"/>
                <w:kern w:val="0"/>
                <w:szCs w:val="21"/>
              </w:rPr>
              <w:t>分。其他投标单位的价格分统一按照以下公式计算：价格分=(</w:t>
            </w:r>
            <w:r>
              <w:rPr>
                <w:rFonts w:hint="eastAsia" w:cs="Segoe UI" w:asciiTheme="minorEastAsia" w:hAnsiTheme="minorEastAsia"/>
                <w:b/>
                <w:kern w:val="0"/>
                <w:szCs w:val="21"/>
              </w:rPr>
              <w:t>评标基准价</w:t>
            </w:r>
            <w:r>
              <w:rPr>
                <w:rFonts w:hint="eastAsia" w:cs="Segoe UI" w:asciiTheme="minorEastAsia" w:hAnsiTheme="minorEastAsia"/>
                <w:kern w:val="0"/>
                <w:szCs w:val="21"/>
              </w:rPr>
              <w:t>／投标报价)×</w:t>
            </w:r>
            <w:r>
              <w:rPr>
                <w:rFonts w:hint="eastAsia" w:cs="Segoe UI" w:asciiTheme="minorEastAsia" w:hAnsiTheme="minorEastAsia"/>
                <w:kern w:val="0"/>
                <w:szCs w:val="21"/>
                <w:lang w:val="en-US" w:eastAsia="zh-CN"/>
              </w:rPr>
              <w:t>30</w:t>
            </w:r>
          </w:p>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2.投标总价</w:t>
            </w:r>
          </w:p>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产品有细分规格且报价不同，则按照同品类平均价计算单价；</w:t>
            </w:r>
          </w:p>
          <w:p>
            <w:pPr>
              <w:wordWrap w:val="0"/>
              <w:spacing w:line="270" w:lineRule="atLeast"/>
              <w:jc w:val="left"/>
              <w:rPr>
                <w:rFonts w:cs="Segoe UI" w:asciiTheme="minorEastAsia" w:hAnsiTheme="minorEastAsia"/>
                <w:kern w:val="0"/>
                <w:szCs w:val="21"/>
              </w:rPr>
            </w:pPr>
          </w:p>
          <w:p>
            <w:pPr>
              <w:wordWrap w:val="0"/>
              <w:spacing w:line="270" w:lineRule="atLeast"/>
              <w:jc w:val="left"/>
              <w:rPr>
                <w:rFonts w:cs="Segoe UI" w:asciiTheme="minorEastAsia" w:hAnsiTheme="minorEastAsia"/>
                <w:kern w:val="0"/>
                <w:szCs w:val="21"/>
              </w:rPr>
            </w:pPr>
          </w:p>
        </w:tc>
      </w:tr>
      <w:tr>
        <w:tblPrEx>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技术指标</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40</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投标人提供的试剂耗材的技术参数完全符合招标文件要求，没有负偏离得</w:t>
            </w:r>
            <w:r>
              <w:rPr>
                <w:rFonts w:hint="eastAsia" w:cs="Segoe UI" w:asciiTheme="minorEastAsia" w:hAnsiTheme="minorEastAsia"/>
                <w:kern w:val="0"/>
                <w:szCs w:val="21"/>
                <w:lang w:val="en-US" w:eastAsia="zh-CN"/>
              </w:rPr>
              <w:t>40</w:t>
            </w:r>
            <w:r>
              <w:rPr>
                <w:rFonts w:hint="eastAsia" w:cs="Segoe UI" w:asciiTheme="minorEastAsia" w:hAnsiTheme="minorEastAsia"/>
                <w:kern w:val="0"/>
                <w:szCs w:val="21"/>
              </w:rPr>
              <w:t>分；</w:t>
            </w:r>
            <w:r>
              <w:rPr>
                <w:rFonts w:hint="eastAsia" w:cs="Segoe UI" w:asciiTheme="minorEastAsia" w:hAnsiTheme="minorEastAsia"/>
                <w:kern w:val="0"/>
                <w:szCs w:val="21"/>
                <w:lang w:val="en-US" w:eastAsia="zh-CN"/>
              </w:rPr>
              <w:t>非“*”条款技术参数不满足招标文件要求（负偏离），一次扣4分，“*”条款</w:t>
            </w:r>
            <w:r>
              <w:rPr>
                <w:rFonts w:hint="eastAsia" w:cs="Segoe UI" w:asciiTheme="minorEastAsia" w:hAnsiTheme="minorEastAsia"/>
                <w:kern w:val="0"/>
                <w:szCs w:val="21"/>
              </w:rPr>
              <w:t>技术参数与招标文件要求有负偏离的，一项扣</w:t>
            </w:r>
            <w:r>
              <w:rPr>
                <w:rFonts w:hint="eastAsia" w:cs="Segoe UI" w:asciiTheme="minorEastAsia" w:hAnsiTheme="minorEastAsia"/>
                <w:kern w:val="0"/>
                <w:szCs w:val="21"/>
                <w:lang w:val="en-US" w:eastAsia="zh-CN"/>
              </w:rPr>
              <w:t>8</w:t>
            </w:r>
            <w:r>
              <w:rPr>
                <w:rFonts w:hint="eastAsia" w:cs="Segoe UI" w:asciiTheme="minorEastAsia" w:hAnsiTheme="minorEastAsia"/>
                <w:kern w:val="0"/>
                <w:szCs w:val="21"/>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cs="Segoe UI" w:asciiTheme="minorEastAsia" w:hAnsiTheme="minorEastAsia"/>
                <w:kern w:val="0"/>
                <w:szCs w:val="21"/>
              </w:rPr>
              <w:t> </w:t>
            </w:r>
            <w:r>
              <w:rPr>
                <w:rFonts w:hint="eastAsia" w:cs="Segoe UI" w:asciiTheme="minorEastAsia" w:hAnsiTheme="minor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000000"/>
                <w:kern w:val="0"/>
                <w:szCs w:val="21"/>
                <w:lang w:val="en-US" w:eastAsia="zh-CN"/>
              </w:rPr>
            </w:pPr>
            <w:r>
              <w:rPr>
                <w:rFonts w:hint="eastAsia" w:cs="Segoe UI" w:asciiTheme="minorEastAsia" w:hAnsiTheme="minorEastAsia"/>
                <w:color w:val="000000"/>
                <w:kern w:val="0"/>
                <w:szCs w:val="21"/>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cs="Segoe UI" w:asciiTheme="minorEastAsia" w:hAnsiTheme="minorEastAsia"/>
                <w:color w:val="333333"/>
                <w:kern w:val="0"/>
                <w:szCs w:val="21"/>
              </w:rPr>
            </w:pPr>
            <w:r>
              <w:rPr>
                <w:rFonts w:hint="eastAsia" w:cs="Segoe UI" w:asciiTheme="minorEastAsia" w:hAnsiTheme="minorEastAsia"/>
                <w:color w:val="333333"/>
                <w:kern w:val="0"/>
                <w:szCs w:val="21"/>
              </w:rPr>
              <w:t>样品评分</w:t>
            </w:r>
          </w:p>
          <w:p>
            <w:pPr>
              <w:widowControl/>
              <w:jc w:val="center"/>
              <w:rPr>
                <w:rFonts w:hint="eastAsia" w:cs="Segoe UI" w:asciiTheme="minorEastAsia" w:hAnsiTheme="minorEastAsia" w:eastAsiaTheme="minorEastAsia"/>
                <w:color w:val="333333"/>
                <w:kern w:val="0"/>
                <w:sz w:val="21"/>
                <w:szCs w:val="21"/>
                <w:lang w:val="en-US" w:eastAsia="zh-CN" w:bidi="ar-SA"/>
              </w:rPr>
            </w:pPr>
            <w:r>
              <w:rPr>
                <w:rFonts w:hint="eastAsia" w:cs="Segoe UI" w:asciiTheme="minorEastAsia" w:hAnsiTheme="minorEastAsia"/>
                <w:color w:val="333333"/>
                <w:kern w:val="0"/>
                <w:szCs w:val="21"/>
                <w:lang w:val="en-US" w:eastAsia="zh-CN"/>
              </w:rPr>
              <w:t>15</w:t>
            </w:r>
            <w:r>
              <w:rPr>
                <w:rFonts w:hint="eastAsia" w:cs="Segoe UI" w:asciiTheme="minorEastAsia" w:hAnsiTheme="minorEastAsia"/>
                <w:color w:val="333333"/>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hint="default" w:cs="Segoe UI" w:asciiTheme="minorEastAsia" w:hAnsiTheme="minorEastAsia" w:eastAsiaTheme="minorEastAsia"/>
                <w:color w:val="333333"/>
                <w:kern w:val="0"/>
                <w:sz w:val="21"/>
                <w:szCs w:val="21"/>
                <w:lang w:val="en-US" w:eastAsia="zh-CN" w:bidi="ar-SA"/>
              </w:rPr>
            </w:pPr>
            <w:r>
              <w:rPr>
                <w:rFonts w:hint="eastAsia" w:cs="Segoe UI" w:asciiTheme="minorEastAsia" w:hAnsiTheme="minorEastAsia"/>
                <w:color w:val="333333"/>
                <w:kern w:val="0"/>
                <w:szCs w:val="21"/>
                <w:lang w:val="en-US" w:eastAsia="zh-CN"/>
              </w:rPr>
              <w:t>15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270" w:lineRule="atLeast"/>
              <w:jc w:val="left"/>
              <w:rPr>
                <w:rFonts w:hint="eastAsia" w:cs="Segoe UI" w:asciiTheme="minorEastAsia" w:hAnsiTheme="minorEastAsia" w:eastAsiaTheme="minorEastAsia"/>
                <w:color w:val="000000"/>
                <w:kern w:val="0"/>
                <w:sz w:val="21"/>
                <w:szCs w:val="21"/>
                <w:lang w:val="en-US" w:eastAsia="zh-CN" w:bidi="ar-SA"/>
              </w:rPr>
            </w:pPr>
            <w:r>
              <w:rPr>
                <w:rFonts w:hint="eastAsia" w:cs="Segoe UI" w:asciiTheme="minorEastAsia" w:hAnsiTheme="minorEastAsia"/>
                <w:color w:val="000000"/>
                <w:kern w:val="0"/>
                <w:szCs w:val="21"/>
              </w:rPr>
              <w:t>提供投标产品样品及产品说明书，根据样品的外观、材质、性能、是否符合临床需求、产品市场信誉度等综合评定，优</w:t>
            </w:r>
            <w:r>
              <w:rPr>
                <w:rFonts w:hint="eastAsia" w:cs="Segoe UI" w:asciiTheme="minorEastAsia" w:hAnsiTheme="minorEastAsia"/>
                <w:color w:val="000000"/>
                <w:kern w:val="0"/>
                <w:szCs w:val="21"/>
                <w:lang w:val="en-US" w:eastAsia="zh-CN"/>
              </w:rPr>
              <w:t>11-15</w:t>
            </w:r>
            <w:r>
              <w:rPr>
                <w:rFonts w:hint="eastAsia" w:cs="Segoe UI" w:asciiTheme="minorEastAsia" w:hAnsiTheme="minorEastAsia"/>
                <w:color w:val="000000"/>
                <w:kern w:val="0"/>
                <w:szCs w:val="21"/>
              </w:rPr>
              <w:t>分；良得</w:t>
            </w:r>
            <w:r>
              <w:rPr>
                <w:rFonts w:hint="eastAsia" w:cs="Segoe UI" w:asciiTheme="minorEastAsia" w:hAnsiTheme="minorEastAsia"/>
                <w:color w:val="000000"/>
                <w:kern w:val="0"/>
                <w:szCs w:val="21"/>
                <w:lang w:val="en-US" w:eastAsia="zh-CN"/>
              </w:rPr>
              <w:t>6-10</w:t>
            </w:r>
            <w:r>
              <w:rPr>
                <w:rFonts w:hint="eastAsia" w:cs="Segoe UI" w:asciiTheme="minorEastAsia" w:hAnsiTheme="minorEastAsia"/>
                <w:color w:val="000000"/>
                <w:kern w:val="0"/>
                <w:szCs w:val="21"/>
              </w:rPr>
              <w:t>分；一般得</w:t>
            </w:r>
            <w:r>
              <w:rPr>
                <w:rFonts w:hint="eastAsia" w:cs="Segoe UI" w:asciiTheme="minorEastAsia" w:hAnsiTheme="minorEastAsia"/>
                <w:color w:val="000000"/>
                <w:kern w:val="0"/>
                <w:szCs w:val="21"/>
                <w:lang w:val="en-US" w:eastAsia="zh-CN"/>
              </w:rPr>
              <w:t>1-5</w:t>
            </w:r>
            <w:r>
              <w:rPr>
                <w:rFonts w:hint="eastAsia" w:cs="Segoe UI" w:asciiTheme="minorEastAsia" w:hAnsiTheme="minorEastAsia"/>
                <w:color w:val="000000"/>
                <w:kern w:val="0"/>
                <w:szCs w:val="21"/>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kern w:val="0"/>
                <w:sz w:val="21"/>
                <w:szCs w:val="21"/>
                <w:lang w:val="en-US" w:eastAsia="zh-CN" w:bidi="ar-SA"/>
              </w:rPr>
            </w:pPr>
            <w:r>
              <w:rPr>
                <w:rFonts w:hint="eastAsia" w:cs="Segoe UI" w:asciiTheme="minorEastAsia" w:hAnsiTheme="minorEastAsia"/>
                <w:kern w:val="0"/>
                <w:szCs w:val="21"/>
              </w:rPr>
              <w:t>要求提供的样品</w:t>
            </w:r>
            <w:r>
              <w:rPr>
                <w:rFonts w:hint="eastAsia" w:cs="Segoe UI" w:asciiTheme="minorEastAsia" w:hAnsiTheme="minorEastAsia"/>
                <w:b/>
                <w:kern w:val="0"/>
                <w:szCs w:val="21"/>
              </w:rPr>
              <w:t>将品牌LOGO等信息遮住</w:t>
            </w:r>
          </w:p>
        </w:tc>
      </w:tr>
      <w:tr>
        <w:tblPrEx>
          <w:tblCellMar>
            <w:top w:w="0" w:type="dxa"/>
            <w:left w:w="0" w:type="dxa"/>
            <w:bottom w:w="0" w:type="dxa"/>
            <w:right w:w="0" w:type="dxa"/>
          </w:tblCellMar>
        </w:tblPrEx>
        <w:trPr>
          <w:trHeight w:val="1123"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4</w:t>
            </w:r>
          </w:p>
        </w:tc>
        <w:tc>
          <w:tcPr>
            <w:tcW w:w="12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业绩</w:t>
            </w:r>
            <w:r>
              <w:rPr>
                <w:rFonts w:hint="eastAsia" w:cs="Segoe UI" w:asciiTheme="minorEastAsia" w:hAnsiTheme="minorEastAsia"/>
                <w:color w:val="000000"/>
                <w:kern w:val="0"/>
                <w:szCs w:val="21"/>
                <w:lang w:val="en-US" w:eastAsia="zh-CN"/>
              </w:rPr>
              <w:t>10</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10</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r>
              <w:rPr>
                <w:rFonts w:hint="eastAsia" w:cs="Segoe UI" w:asciiTheme="minorEastAsia" w:hAnsiTheme="minorEastAsia"/>
                <w:color w:val="000000"/>
                <w:kern w:val="0"/>
                <w:szCs w:val="21"/>
              </w:rPr>
              <w:t>投标人需提供该产品2018年以来省内三甲医疗机构客户名单，每提供1家三甲医院得2分最多</w:t>
            </w:r>
            <w:r>
              <w:rPr>
                <w:rFonts w:hint="eastAsia" w:cs="Segoe UI" w:asciiTheme="minorEastAsia" w:hAnsiTheme="minorEastAsia"/>
                <w:color w:val="000000"/>
                <w:kern w:val="0"/>
                <w:szCs w:val="21"/>
                <w:lang w:val="en-US" w:eastAsia="zh-CN"/>
              </w:rPr>
              <w:t>10</w:t>
            </w:r>
            <w:r>
              <w:rPr>
                <w:rFonts w:hint="eastAsia" w:cs="Segoe UI" w:asciiTheme="minorEastAsia" w:hAnsiTheme="minorEastAsia"/>
                <w:color w:val="000000"/>
                <w:kern w:val="0"/>
                <w:szCs w:val="21"/>
              </w:rPr>
              <w:t>分。</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r>
              <w:rPr>
                <w:rFonts w:hint="eastAsia" w:cs="Segoe UI" w:asciiTheme="minorEastAsia" w:hAnsiTheme="minorEastAsia"/>
                <w:color w:val="000000"/>
                <w:kern w:val="0"/>
                <w:szCs w:val="21"/>
              </w:rPr>
              <w:t>需提供中标通知书或送货发票或合同复印件作为得分依据.</w:t>
            </w:r>
          </w:p>
        </w:tc>
      </w:tr>
      <w:tr>
        <w:tblPrEx>
          <w:tblCellMar>
            <w:top w:w="0" w:type="dxa"/>
            <w:left w:w="0" w:type="dxa"/>
            <w:bottom w:w="0" w:type="dxa"/>
            <w:right w:w="0" w:type="dxa"/>
          </w:tblCellMar>
        </w:tblPrEx>
        <w:trPr>
          <w:trHeight w:val="1425" w:hRule="atLeast"/>
        </w:trPr>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售后服务</w:t>
            </w:r>
          </w:p>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5</w:t>
            </w:r>
            <w:r>
              <w:rPr>
                <w:rFonts w:hint="eastAsia" w:cs="Segoe UI" w:asciiTheme="minorEastAsia" w:hAnsiTheme="minorEastAsia"/>
                <w:color w:val="000000"/>
                <w:kern w:val="0"/>
                <w:szCs w:val="21"/>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right="-107"/>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333333"/>
                <w:kern w:val="0"/>
                <w:szCs w:val="21"/>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eastAsiaTheme="minorEastAsia"/>
                <w:color w:val="000000"/>
                <w:kern w:val="0"/>
                <w:szCs w:val="21"/>
                <w:lang w:val="en-US" w:eastAsia="zh-CN"/>
              </w:rPr>
            </w:pPr>
            <w:r>
              <w:rPr>
                <w:rFonts w:hint="eastAsia" w:cs="Segoe UI" w:asciiTheme="minorEastAsia" w:hAnsiTheme="minorEastAsia"/>
                <w:color w:val="000000"/>
                <w:kern w:val="0"/>
                <w:szCs w:val="21"/>
              </w:rPr>
              <w:t>根据投标人承诺的质量保证范围</w:t>
            </w:r>
            <w:r>
              <w:rPr>
                <w:rFonts w:hint="eastAsia" w:cs="Segoe UI" w:asciiTheme="minorEastAsia" w:hAnsiTheme="minorEastAsia"/>
                <w:color w:val="000000"/>
                <w:kern w:val="0"/>
                <w:szCs w:val="21"/>
                <w:lang w:eastAsia="zh-CN"/>
              </w:rPr>
              <w:t>、</w:t>
            </w:r>
            <w:r>
              <w:rPr>
                <w:rFonts w:hint="eastAsia" w:cs="Segoe UI" w:asciiTheme="minorEastAsia" w:hAnsiTheme="minorEastAsia"/>
                <w:color w:val="000000"/>
                <w:kern w:val="0"/>
                <w:szCs w:val="21"/>
              </w:rPr>
              <w:t>售后服务体系、人员培训计划、响应时间、产品彩页简介等进行综合分析比较评分，最好得5分；一般得3分；差不得分。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p>
        </w:tc>
      </w:tr>
    </w:tbl>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bookmarkStart w:id="1" w:name="_GoBack"/>
      <w:bookmarkEnd w:id="1"/>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8671" w:type="dxa"/>
        <w:tblInd w:w="0" w:type="dxa"/>
        <w:shd w:val="clear" w:color="auto" w:fill="FFFFFF"/>
        <w:tblLayout w:type="autofit"/>
        <w:tblCellMar>
          <w:top w:w="0" w:type="dxa"/>
          <w:left w:w="0" w:type="dxa"/>
          <w:bottom w:w="0" w:type="dxa"/>
          <w:right w:w="0" w:type="dxa"/>
        </w:tblCellMar>
      </w:tblPr>
      <w:tblGrid>
        <w:gridCol w:w="456"/>
        <w:gridCol w:w="980"/>
        <w:gridCol w:w="845"/>
        <w:gridCol w:w="710"/>
        <w:gridCol w:w="1409"/>
        <w:gridCol w:w="456"/>
        <w:gridCol w:w="1138"/>
        <w:gridCol w:w="1138"/>
        <w:gridCol w:w="697"/>
        <w:gridCol w:w="842"/>
      </w:tblGrid>
      <w:tr>
        <w:tblPrEx>
          <w:shd w:val="clear" w:color="auto" w:fill="FFFFFF"/>
          <w:tblCellMar>
            <w:top w:w="0" w:type="dxa"/>
            <w:left w:w="0" w:type="dxa"/>
            <w:bottom w:w="0" w:type="dxa"/>
            <w:right w:w="0" w:type="dxa"/>
          </w:tblCellMar>
        </w:tblPrEx>
        <w:trPr>
          <w:trHeight w:val="735" w:hRule="atLeast"/>
        </w:trPr>
        <w:tc>
          <w:tcPr>
            <w:tcW w:w="4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9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4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4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1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1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成交总价（元）</w:t>
            </w:r>
          </w:p>
        </w:tc>
        <w:tc>
          <w:tcPr>
            <w:tcW w:w="6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仿宋_GB2312" w:hAnsi="Segoe UI" w:eastAsia="仿宋_GB2312" w:cs="Segoe UI"/>
                <w:color w:val="333333"/>
                <w:kern w:val="0"/>
                <w:sz w:val="24"/>
                <w:szCs w:val="24"/>
                <w:lang w:val="en-US" w:eastAsia="zh-CN"/>
              </w:rPr>
              <w:t>商品代码</w:t>
            </w:r>
          </w:p>
        </w:tc>
        <w:tc>
          <w:tcPr>
            <w:tcW w:w="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医保编码</w:t>
            </w:r>
          </w:p>
        </w:tc>
      </w:tr>
      <w:tr>
        <w:tblPrEx>
          <w:tblCellMar>
            <w:top w:w="0" w:type="dxa"/>
            <w:left w:w="0" w:type="dxa"/>
            <w:bottom w:w="0" w:type="dxa"/>
            <w:right w:w="0" w:type="dxa"/>
          </w:tblCellMar>
        </w:tblPrEx>
        <w:trPr>
          <w:trHeight w:val="330" w:hRule="atLeast"/>
        </w:trPr>
        <w:tc>
          <w:tcPr>
            <w:tcW w:w="45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45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45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8671" w:type="dxa"/>
            <w:gridSpan w:val="10"/>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135D53CE"/>
    <w:rsid w:val="16526B10"/>
    <w:rsid w:val="1A543468"/>
    <w:rsid w:val="1D617858"/>
    <w:rsid w:val="208D33E5"/>
    <w:rsid w:val="21F33882"/>
    <w:rsid w:val="254802B2"/>
    <w:rsid w:val="25AA75E5"/>
    <w:rsid w:val="2CBD5BC5"/>
    <w:rsid w:val="2E190D0A"/>
    <w:rsid w:val="2FC20E9A"/>
    <w:rsid w:val="38460DD4"/>
    <w:rsid w:val="3AB015EA"/>
    <w:rsid w:val="3BFD3F92"/>
    <w:rsid w:val="3C282466"/>
    <w:rsid w:val="3D800344"/>
    <w:rsid w:val="419B0A01"/>
    <w:rsid w:val="46E05B05"/>
    <w:rsid w:val="4706758F"/>
    <w:rsid w:val="4787628A"/>
    <w:rsid w:val="48D100B1"/>
    <w:rsid w:val="490F6C51"/>
    <w:rsid w:val="4F755684"/>
    <w:rsid w:val="520A1FCA"/>
    <w:rsid w:val="550C45FF"/>
    <w:rsid w:val="564D06AC"/>
    <w:rsid w:val="5F294D59"/>
    <w:rsid w:val="60716921"/>
    <w:rsid w:val="65F26020"/>
    <w:rsid w:val="6EDC0811"/>
    <w:rsid w:val="732A038D"/>
    <w:rsid w:val="743E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4</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2021-12-10T03:33:08Z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