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1.产品名称：</w:t>
      </w:r>
      <w:r>
        <w:rPr>
          <w:rFonts w:hint="eastAsia" w:ascii="仿宋_GB2312" w:hAnsi="Segoe UI" w:eastAsia="仿宋_GB2312" w:cs="Segoe UI"/>
          <w:color w:val="333333"/>
          <w:spacing w:val="8"/>
          <w:kern w:val="0"/>
          <w:sz w:val="24"/>
          <w:szCs w:val="24"/>
          <w:lang w:val="en-US" w:eastAsia="zh-CN"/>
        </w:rPr>
        <w:t>缓冲生理海水鼻腔护理喷雾器</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sz w:val="24"/>
                <w:szCs w:val="24"/>
              </w:rPr>
            </w:pPr>
            <w:r>
              <w:rPr>
                <w:rFonts w:hint="eastAsia" w:ascii="仿宋" w:hAnsi="仿宋" w:eastAsia="仿宋"/>
                <w:sz w:val="24"/>
                <w:szCs w:val="24"/>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缓冲生理海水鼻腔护理喷雾器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400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480" w:lineRule="auto"/>
              <w:rPr>
                <w:rFonts w:hint="eastAsia" w:ascii="仿宋" w:hAnsi="仿宋" w:eastAsia="仿宋" w:cs="仿宋"/>
                <w:sz w:val="21"/>
                <w:szCs w:val="21"/>
              </w:rPr>
            </w:pPr>
            <w:r>
              <w:rPr>
                <w:rFonts w:hint="eastAsia" w:ascii="仿宋" w:hAnsi="仿宋" w:eastAsia="仿宋" w:cs="仿宋"/>
                <w:sz w:val="21"/>
                <w:szCs w:val="21"/>
                <w:lang w:val="en-US" w:eastAsia="zh-CN"/>
              </w:rPr>
              <w:t>用途</w:t>
            </w:r>
            <w:r>
              <w:rPr>
                <w:rFonts w:hint="eastAsia" w:ascii="仿宋" w:hAnsi="仿宋" w:eastAsia="仿宋" w:cs="仿宋"/>
                <w:sz w:val="21"/>
                <w:szCs w:val="21"/>
              </w:rPr>
              <w:t>：适用于</w:t>
            </w:r>
            <w:r>
              <w:rPr>
                <w:rFonts w:hint="eastAsia" w:ascii="仿宋" w:hAnsi="仿宋" w:eastAsia="仿宋" w:cs="仿宋"/>
                <w:sz w:val="21"/>
                <w:szCs w:val="21"/>
                <w:lang w:val="en-US" w:eastAsia="zh-CN"/>
              </w:rPr>
              <w:t>慢性鼻炎、鼻窦炎等引起鼻腔不适症，鼻腔黏膜的清洗、湿润和护理；</w:t>
            </w:r>
          </w:p>
          <w:p>
            <w:pPr>
              <w:spacing w:line="480" w:lineRule="auto"/>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结构及组成:由</w:t>
            </w:r>
            <w:r>
              <w:rPr>
                <w:rFonts w:hint="eastAsia" w:ascii="仿宋" w:hAnsi="仿宋" w:eastAsia="仿宋" w:cs="仿宋"/>
                <w:sz w:val="21"/>
                <w:szCs w:val="21"/>
                <w:lang w:val="en-US" w:eastAsia="zh-CN"/>
              </w:rPr>
              <w:t>瓶体、手动泵、喷嘴、防尘罩及弱酸性缓冲生理海水</w:t>
            </w:r>
            <w:r>
              <w:rPr>
                <w:rFonts w:hint="eastAsia" w:ascii="仿宋" w:hAnsi="仿宋" w:eastAsia="仿宋" w:cs="仿宋"/>
                <w:sz w:val="21"/>
                <w:szCs w:val="21"/>
              </w:rPr>
              <w:t>组成</w:t>
            </w:r>
            <w:r>
              <w:rPr>
                <w:rFonts w:hint="eastAsia" w:ascii="仿宋" w:hAnsi="仿宋" w:eastAsia="仿宋" w:cs="仿宋"/>
                <w:sz w:val="21"/>
                <w:szCs w:val="21"/>
                <w:lang w:eastAsia="zh-CN"/>
              </w:rPr>
              <w:t>；</w:t>
            </w:r>
          </w:p>
          <w:p>
            <w:pPr>
              <w:spacing w:line="480" w:lineRule="auto"/>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规格</w:t>
            </w:r>
            <w:r>
              <w:rPr>
                <w:rFonts w:hint="eastAsia" w:ascii="仿宋" w:hAnsi="仿宋" w:eastAsia="仿宋" w:cs="仿宋"/>
                <w:sz w:val="21"/>
                <w:szCs w:val="21"/>
                <w:lang w:val="en-US" w:eastAsia="zh-CN"/>
              </w:rPr>
              <w:t>型号</w:t>
            </w:r>
            <w:r>
              <w:rPr>
                <w:rFonts w:hint="eastAsia" w:ascii="仿宋" w:hAnsi="仿宋" w:eastAsia="仿宋" w:cs="仿宋"/>
                <w:sz w:val="21"/>
                <w:szCs w:val="21"/>
              </w:rPr>
              <w:t>：多规格供选择，包括</w:t>
            </w:r>
            <w:r>
              <w:rPr>
                <w:rFonts w:hint="eastAsia" w:ascii="仿宋" w:hAnsi="仿宋" w:eastAsia="仿宋" w:cs="仿宋"/>
                <w:sz w:val="21"/>
                <w:szCs w:val="21"/>
                <w:lang w:val="en-US" w:eastAsia="zh-CN"/>
              </w:rPr>
              <w:t>50</w:t>
            </w:r>
            <w:r>
              <w:rPr>
                <w:rFonts w:hint="eastAsia" w:ascii="仿宋" w:hAnsi="仿宋" w:eastAsia="仿宋" w:cs="仿宋"/>
                <w:sz w:val="21"/>
                <w:szCs w:val="21"/>
              </w:rPr>
              <w:t>mL/瓶、</w:t>
            </w:r>
            <w:r>
              <w:rPr>
                <w:rFonts w:hint="eastAsia" w:ascii="仿宋" w:hAnsi="仿宋" w:eastAsia="仿宋" w:cs="仿宋"/>
                <w:sz w:val="21"/>
                <w:szCs w:val="21"/>
                <w:lang w:val="en-US" w:eastAsia="zh-CN"/>
              </w:rPr>
              <w:t>60</w:t>
            </w:r>
            <w:r>
              <w:rPr>
                <w:rFonts w:hint="eastAsia" w:ascii="仿宋" w:hAnsi="仿宋" w:eastAsia="仿宋" w:cs="仿宋"/>
                <w:sz w:val="21"/>
                <w:szCs w:val="21"/>
              </w:rPr>
              <w:t>mL/瓶</w:t>
            </w:r>
            <w:r>
              <w:rPr>
                <w:rFonts w:hint="eastAsia" w:ascii="仿宋" w:hAnsi="仿宋" w:eastAsia="仿宋" w:cs="仿宋"/>
                <w:sz w:val="21"/>
                <w:szCs w:val="21"/>
                <w:lang w:eastAsia="zh-CN"/>
              </w:rPr>
              <w:t>；</w:t>
            </w:r>
          </w:p>
          <w:p>
            <w:pPr>
              <w:spacing w:line="48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有效含量：</w:t>
            </w:r>
            <w:r>
              <w:rPr>
                <w:rFonts w:hint="eastAsia" w:ascii="仿宋" w:hAnsi="仿宋" w:eastAsia="仿宋" w:cs="仿宋"/>
                <w:sz w:val="21"/>
                <w:szCs w:val="21"/>
                <w:lang w:val="en-US" w:eastAsia="zh-CN"/>
              </w:rPr>
              <w:t>氯化钠含量8.5-9.5g/L；</w:t>
            </w:r>
          </w:p>
          <w:p>
            <w:pPr>
              <w:spacing w:line="480" w:lineRule="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PH值：ph</w:t>
            </w:r>
            <w:r>
              <w:rPr>
                <w:rFonts w:hint="eastAsia" w:ascii="仿宋" w:hAnsi="仿宋" w:eastAsia="仿宋" w:cs="仿宋"/>
                <w:sz w:val="21"/>
                <w:szCs w:val="21"/>
                <w:lang w:val="en-US" w:eastAsia="zh-CN"/>
              </w:rPr>
              <w:t>5.5-6.5；</w:t>
            </w:r>
          </w:p>
          <w:p>
            <w:pPr>
              <w:spacing w:line="48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5.微生物指标：细菌菌落总数≤100cfu/mL；真菌菌落总数≤20cfu/mL；大肠杆菌和致病化脓菌不得检出；</w:t>
            </w:r>
          </w:p>
          <w:p>
            <w:pPr>
              <w:spacing w:line="48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6.密封性及喷雾距离：喷雾器密封良好，无泄漏；喷雾距离应不低于200mm；</w:t>
            </w:r>
          </w:p>
          <w:p>
            <w:pPr>
              <w:widowControl/>
              <w:spacing w:line="380" w:lineRule="exact"/>
              <w:jc w:val="left"/>
              <w:textAlignment w:val="center"/>
              <w:rPr>
                <w:rFonts w:hint="eastAsia" w:ascii="仿宋" w:hAnsi="仿宋" w:eastAsia="仿宋" w:cs="宋体"/>
                <w:color w:val="000000"/>
                <w:kern w:val="0"/>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rPr>
              <w:t>产品有效期：≥</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eastAsia="zh-CN"/>
              </w:rPr>
              <w:t>；</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若产品有多种规格型号且价格不同，供应商应按型号分项报价，价格评分细则详见附件2；</w:t>
      </w:r>
    </w:p>
    <w:p>
      <w:pPr>
        <w:widowControl/>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投标报价</w:t>
            </w:r>
          </w:p>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lang w:val="en-US" w:eastAsia="zh-CN"/>
              </w:rPr>
              <w:t>30</w:t>
            </w:r>
            <w:r>
              <w:rPr>
                <w:rFonts w:hint="eastAsia" w:cs="Segoe UI" w:asciiTheme="minorEastAsia" w:hAnsiTheme="minorEastAsia"/>
                <w:color w:val="000000"/>
                <w:kern w:val="0"/>
                <w:szCs w:val="21"/>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b/>
                <w:kern w:val="0"/>
                <w:szCs w:val="21"/>
              </w:rPr>
            </w:pPr>
            <w:r>
              <w:rPr>
                <w:rFonts w:hint="eastAsia" w:cs="Segoe UI" w:asciiTheme="minorEastAsia" w:hAnsiTheme="minorEastAsia"/>
                <w:b/>
                <w:kern w:val="0"/>
                <w:szCs w:val="21"/>
              </w:rPr>
              <w:t>1.价格分：</w:t>
            </w:r>
          </w:p>
          <w:p>
            <w:pPr>
              <w:widowControl/>
              <w:wordWrap w:val="0"/>
              <w:spacing w:line="270" w:lineRule="atLeast"/>
              <w:jc w:val="left"/>
              <w:rPr>
                <w:rFonts w:hint="default" w:cs="Segoe UI" w:asciiTheme="minorEastAsia" w:hAnsiTheme="minorEastAsia" w:eastAsiaTheme="minorEastAsia"/>
                <w:kern w:val="0"/>
                <w:szCs w:val="21"/>
                <w:lang w:val="en-US" w:eastAsia="zh-CN"/>
              </w:rPr>
            </w:pPr>
            <w:r>
              <w:rPr>
                <w:rFonts w:hint="eastAsia" w:cs="Segoe UI" w:asciiTheme="minorEastAsia" w:hAnsiTheme="minorEastAsia"/>
                <w:kern w:val="0"/>
                <w:szCs w:val="21"/>
              </w:rPr>
              <w:t>投标材料满足招标文件要求且以</w:t>
            </w:r>
            <w:r>
              <w:rPr>
                <w:rFonts w:hint="eastAsia" w:cs="Segoe UI" w:asciiTheme="minorEastAsia" w:hAnsiTheme="minorEastAsia"/>
                <w:b/>
                <w:kern w:val="0"/>
                <w:szCs w:val="21"/>
              </w:rPr>
              <w:t>投标总价</w:t>
            </w:r>
            <w:r>
              <w:rPr>
                <w:rFonts w:hint="eastAsia" w:cs="Segoe UI" w:asciiTheme="minorEastAsia" w:hAnsiTheme="minorEastAsia"/>
                <w:kern w:val="0"/>
                <w:szCs w:val="21"/>
              </w:rPr>
              <w:t>最低的为</w:t>
            </w:r>
            <w:r>
              <w:rPr>
                <w:rFonts w:hint="eastAsia" w:cs="Segoe UI" w:asciiTheme="minorEastAsia" w:hAnsiTheme="minorEastAsia"/>
                <w:b/>
                <w:kern w:val="0"/>
                <w:szCs w:val="21"/>
              </w:rPr>
              <w:t>评标基准价</w:t>
            </w:r>
            <w:r>
              <w:rPr>
                <w:rFonts w:hint="eastAsia" w:cs="Segoe UI" w:asciiTheme="minorEastAsia" w:hAnsiTheme="minorEastAsia"/>
                <w:kern w:val="0"/>
                <w:szCs w:val="21"/>
              </w:rPr>
              <w:t>，其价格分为</w:t>
            </w:r>
            <w:r>
              <w:rPr>
                <w:rFonts w:hint="eastAsia" w:cs="Segoe UI" w:asciiTheme="minorEastAsia" w:hAnsiTheme="minorEastAsia"/>
                <w:kern w:val="0"/>
                <w:szCs w:val="21"/>
                <w:lang w:val="en-US" w:eastAsia="zh-CN"/>
              </w:rPr>
              <w:t>30</w:t>
            </w:r>
            <w:r>
              <w:rPr>
                <w:rFonts w:hint="eastAsia" w:cs="Segoe UI" w:asciiTheme="minorEastAsia" w:hAnsiTheme="minorEastAsia"/>
                <w:kern w:val="0"/>
                <w:szCs w:val="21"/>
              </w:rPr>
              <w:t>分。其他投标单位的价格分统一按照以下公式计算：价格分=(</w:t>
            </w:r>
            <w:r>
              <w:rPr>
                <w:rFonts w:hint="eastAsia" w:cs="Segoe UI" w:asciiTheme="minorEastAsia" w:hAnsiTheme="minorEastAsia"/>
                <w:b/>
                <w:kern w:val="0"/>
                <w:szCs w:val="21"/>
              </w:rPr>
              <w:t>评标基准价</w:t>
            </w:r>
            <w:r>
              <w:rPr>
                <w:rFonts w:hint="eastAsia" w:cs="Segoe UI" w:asciiTheme="minorEastAsia" w:hAnsiTheme="minorEastAsia"/>
                <w:kern w:val="0"/>
                <w:szCs w:val="21"/>
              </w:rPr>
              <w:t>／投标报价)×</w:t>
            </w:r>
            <w:r>
              <w:rPr>
                <w:rFonts w:hint="eastAsia" w:cs="Segoe UI" w:asciiTheme="minorEastAsia" w:hAnsiTheme="minorEastAsia"/>
                <w:kern w:val="0"/>
                <w:szCs w:val="21"/>
                <w:lang w:val="en-US" w:eastAsia="zh-CN"/>
              </w:rPr>
              <w:t>30</w:t>
            </w:r>
          </w:p>
          <w:p>
            <w:pPr>
              <w:widowControl/>
              <w:wordWrap w:val="0"/>
              <w:spacing w:line="270" w:lineRule="atLeast"/>
              <w:jc w:val="left"/>
              <w:rPr>
                <w:rFonts w:cs="Segoe UI" w:asciiTheme="minorEastAsia" w:hAnsiTheme="minorEastAsia"/>
                <w:b/>
                <w:kern w:val="0"/>
                <w:szCs w:val="21"/>
              </w:rPr>
            </w:pPr>
            <w:r>
              <w:rPr>
                <w:rFonts w:hint="eastAsia" w:cs="Segoe UI" w:asciiTheme="minorEastAsia" w:hAnsiTheme="minorEastAsia"/>
                <w:b/>
                <w:kern w:val="0"/>
                <w:szCs w:val="21"/>
              </w:rPr>
              <w:t>2.投标总价</w:t>
            </w:r>
          </w:p>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kern w:val="0"/>
                <w:szCs w:val="21"/>
              </w:rPr>
            </w:pPr>
            <w:r>
              <w:rPr>
                <w:rFonts w:hint="eastAsia" w:cs="Segoe UI" w:asciiTheme="minorEastAsia" w:hAnsiTheme="minorEastAsia"/>
                <w:kern w:val="0"/>
                <w:szCs w:val="21"/>
                <w:lang w:val="en-US" w:eastAsia="zh-CN"/>
              </w:rPr>
              <w:t>本采购项目仅按照50ml/瓶、60ml/瓶规格均价进行价格评分，其他规格价格不作价格评分</w:t>
            </w:r>
            <w:r>
              <w:rPr>
                <w:rFonts w:hint="eastAsia" w:cs="Segoe UI" w:asciiTheme="minorEastAsia" w:hAnsiTheme="minorEastAsia"/>
                <w:kern w:val="0"/>
                <w:szCs w:val="21"/>
              </w:rPr>
              <w:t>；</w:t>
            </w:r>
          </w:p>
          <w:p>
            <w:pPr>
              <w:wordWrap w:val="0"/>
              <w:spacing w:line="270" w:lineRule="atLeast"/>
              <w:jc w:val="left"/>
              <w:rPr>
                <w:rFonts w:cs="Segoe UI" w:asciiTheme="minorEastAsia" w:hAnsiTheme="minorEastAsia"/>
                <w:kern w:val="0"/>
                <w:szCs w:val="21"/>
              </w:rPr>
            </w:pP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技术指标</w:t>
            </w:r>
          </w:p>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lang w:val="en-US" w:eastAsia="zh-CN"/>
              </w:rPr>
              <w:t>36</w:t>
            </w:r>
            <w:r>
              <w:rPr>
                <w:rFonts w:hint="eastAsia" w:cs="Segoe UI" w:asciiTheme="minorEastAsia" w:hAnsiTheme="minorEastAsia"/>
                <w:color w:val="000000"/>
                <w:kern w:val="0"/>
                <w:szCs w:val="21"/>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36</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投标人提供的试剂耗材的技术参数完全符合招标文件要求，没有负偏离得</w:t>
            </w:r>
            <w:r>
              <w:rPr>
                <w:rFonts w:hint="eastAsia" w:cs="Segoe UI" w:asciiTheme="minorEastAsia" w:hAnsiTheme="minorEastAsia"/>
                <w:kern w:val="0"/>
                <w:szCs w:val="21"/>
                <w:lang w:val="en-US" w:eastAsia="zh-CN"/>
              </w:rPr>
              <w:t>36</w:t>
            </w:r>
            <w:r>
              <w:rPr>
                <w:rFonts w:hint="eastAsia" w:cs="Segoe UI" w:asciiTheme="minorEastAsia" w:hAnsiTheme="minorEastAsia"/>
                <w:kern w:val="0"/>
                <w:szCs w:val="21"/>
              </w:rPr>
              <w:t>分；</w:t>
            </w:r>
            <w:r>
              <w:rPr>
                <w:rFonts w:hint="eastAsia" w:cs="Segoe UI" w:asciiTheme="minorEastAsia" w:hAnsiTheme="minorEastAsia"/>
                <w:kern w:val="0"/>
                <w:szCs w:val="21"/>
                <w:lang w:val="en-US" w:eastAsia="zh-CN"/>
              </w:rPr>
              <w:t>非“*”条款技术参数不满足招标文件要求（负偏离），一次扣4分，“*”条款</w:t>
            </w:r>
            <w:r>
              <w:rPr>
                <w:rFonts w:hint="eastAsia" w:cs="Segoe UI" w:asciiTheme="minorEastAsia" w:hAnsiTheme="minorEastAsia"/>
                <w:kern w:val="0"/>
                <w:szCs w:val="21"/>
              </w:rPr>
              <w:t>技术参数与招标文件要求有负偏离的，一项扣</w:t>
            </w:r>
            <w:r>
              <w:rPr>
                <w:rFonts w:hint="eastAsia" w:cs="Segoe UI" w:asciiTheme="minorEastAsia" w:hAnsiTheme="minorEastAsia"/>
                <w:kern w:val="0"/>
                <w:szCs w:val="21"/>
                <w:lang w:val="en-US" w:eastAsia="zh-CN"/>
              </w:rPr>
              <w:t>8</w:t>
            </w:r>
            <w:r>
              <w:rPr>
                <w:rFonts w:hint="eastAsia" w:cs="Segoe UI" w:asciiTheme="minorEastAsia" w:hAnsiTheme="minorEastAsia"/>
                <w:kern w:val="0"/>
                <w:szCs w:val="21"/>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cs="Segoe UI" w:asciiTheme="minorEastAsia" w:hAnsiTheme="minorEastAsia"/>
                <w:kern w:val="0"/>
                <w:szCs w:val="21"/>
              </w:rPr>
              <w:t> </w:t>
            </w:r>
            <w:r>
              <w:rPr>
                <w:rFonts w:hint="eastAsia" w:cs="Segoe UI" w:asciiTheme="minorEastAsia" w:hAnsiTheme="minor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000000"/>
                <w:kern w:val="0"/>
                <w:szCs w:val="21"/>
                <w:lang w:val="en-US" w:eastAsia="zh-CN"/>
              </w:rPr>
            </w:pPr>
            <w:r>
              <w:rPr>
                <w:rFonts w:hint="eastAsia" w:cs="Segoe UI" w:asciiTheme="minorEastAsia" w:hAnsiTheme="minorEastAsia"/>
                <w:color w:val="000000"/>
                <w:kern w:val="0"/>
                <w:szCs w:val="21"/>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cs="Segoe UI" w:asciiTheme="minorEastAsia" w:hAnsiTheme="minorEastAsia"/>
                <w:color w:val="333333"/>
                <w:kern w:val="0"/>
                <w:szCs w:val="21"/>
              </w:rPr>
            </w:pPr>
            <w:r>
              <w:rPr>
                <w:rFonts w:hint="eastAsia" w:cs="Segoe UI" w:asciiTheme="minorEastAsia" w:hAnsiTheme="minorEastAsia"/>
                <w:color w:val="333333"/>
                <w:kern w:val="0"/>
                <w:szCs w:val="21"/>
              </w:rPr>
              <w:t>样品评分</w:t>
            </w:r>
          </w:p>
          <w:p>
            <w:pPr>
              <w:widowControl/>
              <w:jc w:val="center"/>
              <w:rPr>
                <w:rFonts w:hint="eastAsia" w:cs="Segoe UI" w:asciiTheme="minorEastAsia" w:hAnsiTheme="minorEastAsia" w:eastAsiaTheme="minorEastAsia"/>
                <w:color w:val="333333"/>
                <w:kern w:val="0"/>
                <w:sz w:val="21"/>
                <w:szCs w:val="21"/>
                <w:lang w:val="en-US" w:eastAsia="zh-CN" w:bidi="ar-SA"/>
              </w:rPr>
            </w:pPr>
            <w:r>
              <w:rPr>
                <w:rFonts w:hint="eastAsia" w:cs="Segoe UI" w:asciiTheme="minorEastAsia" w:hAnsiTheme="minorEastAsia"/>
                <w:color w:val="333333"/>
                <w:kern w:val="0"/>
                <w:szCs w:val="21"/>
                <w:lang w:val="en-US" w:eastAsia="zh-CN"/>
              </w:rPr>
              <w:t>10</w:t>
            </w:r>
            <w:r>
              <w:rPr>
                <w:rFonts w:hint="eastAsia" w:cs="Segoe UI" w:asciiTheme="minorEastAsia" w:hAnsiTheme="minorEastAsia"/>
                <w:color w:val="333333"/>
                <w:kern w:val="0"/>
                <w:szCs w:val="21"/>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hint="default" w:cs="Segoe UI" w:asciiTheme="minorEastAsia" w:hAnsiTheme="minorEastAsia" w:eastAsiaTheme="minorEastAsia"/>
                <w:color w:val="333333"/>
                <w:kern w:val="0"/>
                <w:sz w:val="21"/>
                <w:szCs w:val="21"/>
                <w:lang w:val="en-US" w:eastAsia="zh-CN" w:bidi="ar-SA"/>
              </w:rPr>
            </w:pPr>
            <w:r>
              <w:rPr>
                <w:rFonts w:hint="eastAsia" w:cs="Segoe UI" w:asciiTheme="minorEastAsia" w:hAnsiTheme="minorEastAsia"/>
                <w:color w:val="333333"/>
                <w:kern w:val="0"/>
                <w:szCs w:val="21"/>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270" w:lineRule="atLeast"/>
              <w:jc w:val="left"/>
              <w:rPr>
                <w:rFonts w:hint="eastAsia" w:cs="Segoe UI" w:asciiTheme="minorEastAsia" w:hAnsiTheme="minorEastAsia" w:eastAsiaTheme="minorEastAsia"/>
                <w:color w:val="000000"/>
                <w:kern w:val="0"/>
                <w:sz w:val="21"/>
                <w:szCs w:val="21"/>
                <w:lang w:val="en-US" w:eastAsia="zh-CN" w:bidi="ar-SA"/>
              </w:rPr>
            </w:pPr>
            <w:r>
              <w:rPr>
                <w:rFonts w:hint="eastAsia" w:cs="Segoe UI" w:asciiTheme="minorEastAsia" w:hAnsiTheme="minorEastAsia"/>
                <w:color w:val="000000"/>
                <w:kern w:val="0"/>
                <w:szCs w:val="21"/>
              </w:rPr>
              <w:t>提供投标产品样品及产品说明书，根据样品的外观、材质、性能、是否符合临床需求、产品市场信誉度等综合评定，优</w:t>
            </w:r>
            <w:r>
              <w:rPr>
                <w:rFonts w:hint="eastAsia" w:cs="Segoe UI" w:asciiTheme="minorEastAsia" w:hAnsiTheme="minorEastAsia"/>
                <w:color w:val="000000"/>
                <w:kern w:val="0"/>
                <w:szCs w:val="21"/>
                <w:lang w:val="en-US" w:eastAsia="zh-CN"/>
              </w:rPr>
              <w:t>7-10</w:t>
            </w:r>
            <w:r>
              <w:rPr>
                <w:rFonts w:hint="eastAsia" w:cs="Segoe UI" w:asciiTheme="minorEastAsia" w:hAnsiTheme="minorEastAsia"/>
                <w:color w:val="000000"/>
                <w:kern w:val="0"/>
                <w:szCs w:val="21"/>
              </w:rPr>
              <w:t>分；良得</w:t>
            </w:r>
            <w:r>
              <w:rPr>
                <w:rFonts w:hint="eastAsia" w:cs="Segoe UI" w:asciiTheme="minorEastAsia" w:hAnsiTheme="minorEastAsia"/>
                <w:color w:val="000000"/>
                <w:kern w:val="0"/>
                <w:szCs w:val="21"/>
                <w:lang w:val="en-US" w:eastAsia="zh-CN"/>
              </w:rPr>
              <w:t>4-6</w:t>
            </w:r>
            <w:r>
              <w:rPr>
                <w:rFonts w:hint="eastAsia" w:cs="Segoe UI" w:asciiTheme="minorEastAsia" w:hAnsiTheme="minorEastAsia"/>
                <w:color w:val="000000"/>
                <w:kern w:val="0"/>
                <w:szCs w:val="21"/>
              </w:rPr>
              <w:t>分；一般得</w:t>
            </w:r>
            <w:r>
              <w:rPr>
                <w:rFonts w:hint="eastAsia" w:cs="Segoe UI" w:asciiTheme="minorEastAsia" w:hAnsiTheme="minorEastAsia"/>
                <w:color w:val="000000"/>
                <w:kern w:val="0"/>
                <w:szCs w:val="21"/>
                <w:lang w:val="en-US" w:eastAsia="zh-CN"/>
              </w:rPr>
              <w:t>1-3</w:t>
            </w:r>
            <w:r>
              <w:rPr>
                <w:rFonts w:hint="eastAsia" w:cs="Segoe UI" w:asciiTheme="minorEastAsia" w:hAnsiTheme="minorEastAsia"/>
                <w:color w:val="000000"/>
                <w:kern w:val="0"/>
                <w:szCs w:val="21"/>
              </w:rPr>
              <w:t>分；差或未提供则不得分。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kern w:val="0"/>
                <w:sz w:val="21"/>
                <w:szCs w:val="21"/>
                <w:lang w:val="en-US" w:eastAsia="zh-CN" w:bidi="ar-SA"/>
              </w:rPr>
            </w:pPr>
            <w:r>
              <w:rPr>
                <w:rFonts w:hint="eastAsia" w:cs="Segoe UI" w:asciiTheme="minorEastAsia" w:hAnsiTheme="minorEastAsia"/>
                <w:kern w:val="0"/>
                <w:szCs w:val="21"/>
              </w:rPr>
              <w:t>要求提供的样品</w:t>
            </w:r>
            <w:r>
              <w:rPr>
                <w:rFonts w:hint="eastAsia" w:cs="Segoe UI" w:asciiTheme="minorEastAsia" w:hAnsiTheme="minorEastAsia"/>
                <w:b/>
                <w:kern w:val="0"/>
                <w:szCs w:val="21"/>
              </w:rPr>
              <w:t>将品牌LOGO等信息遮住</w:t>
            </w:r>
          </w:p>
        </w:tc>
      </w:tr>
      <w:tr>
        <w:tblPrEx>
          <w:shd w:val="clear" w:color="auto" w:fill="FFFFFF"/>
          <w:tblCellMar>
            <w:top w:w="0" w:type="dxa"/>
            <w:left w:w="0" w:type="dxa"/>
            <w:bottom w:w="0" w:type="dxa"/>
            <w:right w:w="0" w:type="dxa"/>
          </w:tblCellMar>
        </w:tblPrEx>
        <w:trPr>
          <w:trHeight w:val="1116" w:hRule="atLeast"/>
        </w:trPr>
        <w:tc>
          <w:tcPr>
            <w:tcW w:w="709" w:type="dxa"/>
            <w:vMerge w:val="restart"/>
            <w:tcBorders>
              <w:top w:val="single" w:color="auto" w:sz="4"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4</w:t>
            </w:r>
          </w:p>
        </w:tc>
        <w:tc>
          <w:tcPr>
            <w:tcW w:w="1276"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业绩</w:t>
            </w:r>
            <w:r>
              <w:rPr>
                <w:rFonts w:hint="eastAsia" w:cs="Segoe UI" w:asciiTheme="minorEastAsia" w:hAnsiTheme="minorEastAsia"/>
                <w:color w:val="000000"/>
                <w:kern w:val="0"/>
                <w:szCs w:val="21"/>
                <w:lang w:val="en-US" w:eastAsia="zh-CN"/>
              </w:rPr>
              <w:t>14</w:t>
            </w:r>
            <w:r>
              <w:rPr>
                <w:rFonts w:hint="eastAsia" w:cs="Segoe UI" w:asciiTheme="minorEastAsia" w:hAnsiTheme="minorEastAsia"/>
                <w:color w:val="000000"/>
                <w:kern w:val="0"/>
                <w:szCs w:val="21"/>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10</w:t>
            </w:r>
            <w:bookmarkStart w:id="1" w:name="_GoBack"/>
            <w:bookmarkEnd w:id="1"/>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r>
              <w:rPr>
                <w:rFonts w:hint="eastAsia" w:cs="Segoe UI" w:asciiTheme="minorEastAsia" w:hAnsiTheme="minorEastAsia"/>
                <w:color w:val="000000"/>
                <w:kern w:val="0"/>
                <w:szCs w:val="21"/>
              </w:rPr>
              <w:t>投标人需提供该产品2018年以来</w:t>
            </w:r>
            <w:r>
              <w:rPr>
                <w:rFonts w:hint="eastAsia" w:cs="Segoe UI" w:asciiTheme="minorEastAsia" w:hAnsiTheme="minorEastAsia"/>
                <w:color w:val="000000"/>
                <w:kern w:val="0"/>
                <w:szCs w:val="21"/>
                <w:lang w:val="en-US" w:eastAsia="zh-CN"/>
              </w:rPr>
              <w:t>国</w:t>
            </w:r>
            <w:r>
              <w:rPr>
                <w:rFonts w:hint="eastAsia" w:cs="Segoe UI" w:asciiTheme="minorEastAsia" w:hAnsiTheme="minorEastAsia"/>
                <w:color w:val="000000"/>
                <w:kern w:val="0"/>
                <w:szCs w:val="21"/>
              </w:rPr>
              <w:t>内三甲医疗机构客户名单，每提供1家三甲医院得2分最多</w:t>
            </w:r>
            <w:r>
              <w:rPr>
                <w:rFonts w:hint="eastAsia" w:cs="Segoe UI" w:asciiTheme="minorEastAsia" w:hAnsiTheme="minorEastAsia"/>
                <w:color w:val="000000"/>
                <w:kern w:val="0"/>
                <w:szCs w:val="21"/>
                <w:lang w:val="en-US" w:eastAsia="zh-CN"/>
              </w:rPr>
              <w:t>10</w:t>
            </w:r>
            <w:r>
              <w:rPr>
                <w:rFonts w:hint="eastAsia" w:cs="Segoe UI" w:asciiTheme="minorEastAsia" w:hAnsiTheme="minorEastAsia"/>
                <w:color w:val="000000"/>
                <w:kern w:val="0"/>
                <w:szCs w:val="21"/>
              </w:rPr>
              <w:t>分。</w:t>
            </w:r>
          </w:p>
        </w:tc>
        <w:tc>
          <w:tcPr>
            <w:tcW w:w="3260"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以下三项材料均可作为依据：</w:t>
            </w:r>
          </w:p>
          <w:p>
            <w:pPr>
              <w:widowControl/>
              <w:wordWrap w:val="0"/>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1.合同复印件；</w:t>
            </w:r>
          </w:p>
          <w:p>
            <w:pPr>
              <w:widowControl/>
              <w:wordWrap w:val="0"/>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2.中标通知书；</w:t>
            </w:r>
          </w:p>
          <w:p>
            <w:pPr>
              <w:widowControl/>
              <w:wordWrap w:val="0"/>
              <w:jc w:val="left"/>
              <w:rPr>
                <w:rFonts w:cs="Segoe UI" w:asciiTheme="minorEastAsia" w:hAnsiTheme="minorEastAsia"/>
                <w:color w:val="000000"/>
                <w:kern w:val="0"/>
                <w:szCs w:val="21"/>
              </w:rPr>
            </w:pPr>
            <w:r>
              <w:rPr>
                <w:rFonts w:hint="eastAsia" w:cs="Segoe UI" w:asciiTheme="minorEastAsia" w:hAnsiTheme="minorEastAsia"/>
                <w:color w:val="000000"/>
                <w:kern w:val="0"/>
                <w:szCs w:val="21"/>
                <w:lang w:val="en-US" w:eastAsia="zh-CN"/>
              </w:rPr>
              <w:t>3.发票复印件（若发票复印件上无产品明细则需附销货清单）；</w:t>
            </w: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default"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 xml:space="preserve"> 4</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产品为</w:t>
            </w:r>
            <w:r>
              <w:rPr>
                <w:rFonts w:hint="eastAsia" w:cs="Segoe UI" w:asciiTheme="minorEastAsia" w:hAnsiTheme="minorEastAsia"/>
                <w:color w:val="000000"/>
                <w:kern w:val="0"/>
                <w:szCs w:val="21"/>
              </w:rPr>
              <w:t>四川省药械集中采购及医药价格监管平台挂网产品</w:t>
            </w:r>
            <w:r>
              <w:rPr>
                <w:rFonts w:hint="eastAsia" w:cs="Segoe UI" w:asciiTheme="minorEastAsia" w:hAnsiTheme="minorEastAsia"/>
                <w:color w:val="000000"/>
                <w:kern w:val="0"/>
                <w:szCs w:val="21"/>
                <w:lang w:eastAsia="zh-CN"/>
              </w:rPr>
              <w:t>，</w:t>
            </w:r>
            <w:r>
              <w:rPr>
                <w:rFonts w:hint="eastAsia" w:cs="Segoe UI" w:asciiTheme="minorEastAsia" w:hAnsiTheme="minorEastAsia"/>
                <w:color w:val="000000"/>
                <w:kern w:val="0"/>
                <w:szCs w:val="21"/>
              </w:rPr>
              <w:t>提供产品挂网商品代码</w:t>
            </w:r>
            <w:r>
              <w:rPr>
                <w:rFonts w:hint="eastAsia" w:cs="Segoe UI" w:asciiTheme="minorEastAsia" w:hAnsiTheme="minorEastAsia"/>
                <w:color w:val="000000"/>
                <w:kern w:val="0"/>
                <w:szCs w:val="21"/>
                <w:lang w:eastAsia="zh-CN"/>
              </w:rPr>
              <w:t>、</w:t>
            </w:r>
            <w:r>
              <w:rPr>
                <w:rFonts w:hint="eastAsia" w:cs="Segoe UI" w:asciiTheme="minorEastAsia" w:hAnsiTheme="minorEastAsia"/>
                <w:color w:val="000000"/>
                <w:kern w:val="0"/>
                <w:szCs w:val="21"/>
              </w:rPr>
              <w:t>医保编码</w:t>
            </w:r>
            <w:r>
              <w:rPr>
                <w:rFonts w:hint="eastAsia" w:cs="Segoe UI" w:asciiTheme="minorEastAsia" w:hAnsiTheme="minorEastAsia"/>
                <w:color w:val="000000"/>
                <w:kern w:val="0"/>
                <w:szCs w:val="21"/>
                <w:lang w:eastAsia="zh-CN"/>
              </w:rPr>
              <w:t>。</w:t>
            </w:r>
          </w:p>
        </w:tc>
        <w:tc>
          <w:tcPr>
            <w:tcW w:w="3260"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p>
        </w:tc>
      </w:tr>
      <w:tr>
        <w:tblPrEx>
          <w:shd w:val="clear" w:color="auto" w:fill="FFFFFF"/>
          <w:tblCellMar>
            <w:top w:w="0" w:type="dxa"/>
            <w:left w:w="0" w:type="dxa"/>
            <w:bottom w:w="0" w:type="dxa"/>
            <w:right w:w="0" w:type="dxa"/>
          </w:tblCellMar>
        </w:tblPrEx>
        <w:trPr>
          <w:trHeight w:val="1425" w:hRule="atLeast"/>
        </w:trPr>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售后服务</w:t>
            </w:r>
          </w:p>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lang w:val="en-US" w:eastAsia="zh-CN"/>
              </w:rPr>
              <w:t>10</w:t>
            </w:r>
            <w:r>
              <w:rPr>
                <w:rFonts w:hint="eastAsia" w:cs="Segoe UI" w:asciiTheme="minorEastAsia" w:hAnsiTheme="minorEastAsia"/>
                <w:color w:val="000000"/>
                <w:kern w:val="0"/>
                <w:szCs w:val="21"/>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right="-107"/>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333333"/>
                <w:kern w:val="0"/>
                <w:szCs w:val="21"/>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rPr>
              <w:t>根据投标人承诺的质量保证范围</w:t>
            </w:r>
            <w:r>
              <w:rPr>
                <w:rFonts w:hint="eastAsia" w:cs="Segoe UI" w:asciiTheme="minorEastAsia" w:hAnsiTheme="minorEastAsia"/>
                <w:color w:val="000000"/>
                <w:kern w:val="0"/>
                <w:szCs w:val="21"/>
                <w:lang w:val="en-US" w:eastAsia="zh-CN"/>
              </w:rPr>
              <w:t>、</w:t>
            </w:r>
            <w:r>
              <w:rPr>
                <w:rFonts w:hint="eastAsia" w:cs="Segoe UI" w:asciiTheme="minorEastAsia" w:hAnsiTheme="minorEastAsia"/>
                <w:color w:val="000000"/>
                <w:kern w:val="0"/>
                <w:szCs w:val="21"/>
              </w:rPr>
              <w:t>售后服务</w:t>
            </w:r>
            <w:r>
              <w:rPr>
                <w:rFonts w:hint="eastAsia" w:cs="Segoe UI" w:asciiTheme="minorEastAsia" w:hAnsiTheme="minorEastAsia"/>
                <w:color w:val="000000"/>
                <w:kern w:val="0"/>
                <w:szCs w:val="21"/>
                <w:lang w:val="en-US" w:eastAsia="zh-CN"/>
              </w:rPr>
              <w:t>承诺</w:t>
            </w:r>
            <w:r>
              <w:rPr>
                <w:rFonts w:hint="eastAsia" w:cs="Segoe UI" w:asciiTheme="minorEastAsia" w:hAnsiTheme="minorEastAsia"/>
                <w:color w:val="000000"/>
                <w:kern w:val="0"/>
                <w:szCs w:val="21"/>
              </w:rPr>
              <w:t>、人员培训计划、</w:t>
            </w:r>
            <w:r>
              <w:rPr>
                <w:rFonts w:hint="eastAsia" w:cs="Segoe UI" w:asciiTheme="minorEastAsia" w:hAnsiTheme="minorEastAsia"/>
                <w:color w:val="000000"/>
                <w:kern w:val="0"/>
                <w:szCs w:val="21"/>
                <w:lang w:val="en-US" w:eastAsia="zh-CN"/>
              </w:rPr>
              <w:t>应急预案</w:t>
            </w:r>
            <w:r>
              <w:rPr>
                <w:rFonts w:hint="eastAsia" w:cs="Segoe UI" w:asciiTheme="minorEastAsia" w:hAnsiTheme="minorEastAsia"/>
                <w:color w:val="000000"/>
                <w:kern w:val="0"/>
                <w:szCs w:val="21"/>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cs="Segoe UI" w:asciiTheme="minorEastAsia" w:hAnsiTheme="minorEastAsia"/>
                <w:color w:val="000000"/>
                <w:kern w:val="0"/>
                <w:szCs w:val="21"/>
              </w:rPr>
            </w:pPr>
            <w:r>
              <w:rPr>
                <w:rFonts w:hint="eastAsia" w:cs="Segoe UI" w:asciiTheme="minorEastAsia" w:hAnsiTheme="minorEastAsia"/>
                <w:color w:val="000000"/>
                <w:kern w:val="0"/>
                <w:szCs w:val="21"/>
                <w:lang w:val="en-US" w:eastAsia="zh-CN"/>
              </w:rPr>
              <w:t>未提供不得分。</w:t>
            </w:r>
          </w:p>
        </w:tc>
      </w:tr>
    </w:tbl>
    <w:p>
      <w:pPr>
        <w:widowControl/>
        <w:shd w:val="clear" w:color="auto" w:fill="FFFFFF"/>
        <w:wordWrap w:val="0"/>
        <w:jc w:val="left"/>
        <w:rPr>
          <w:rFonts w:hint="eastAsia" w:cs="Segoe UI" w:asciiTheme="majorEastAsia" w:hAnsiTheme="majorEastAsia" w:eastAsiaTheme="majorEastAsia"/>
          <w:b/>
          <w:bCs/>
          <w:color w:val="333333"/>
          <w:kern w:val="0"/>
          <w:sz w:val="28"/>
          <w:szCs w:val="28"/>
        </w:rPr>
      </w:pPr>
    </w:p>
    <w:p>
      <w:pPr>
        <w:widowControl/>
        <w:shd w:val="clear" w:color="auto" w:fill="FFFFFF"/>
        <w:wordWrap w:val="0"/>
        <w:jc w:val="left"/>
        <w:rPr>
          <w:rFonts w:hint="eastAsia" w:cs="Segoe UI" w:asciiTheme="majorEastAsia" w:hAnsiTheme="majorEastAsia" w:eastAsiaTheme="majorEastAsia"/>
          <w:b/>
          <w:bCs/>
          <w:color w:val="333333"/>
          <w:kern w:val="0"/>
          <w:sz w:val="28"/>
          <w:szCs w:val="28"/>
        </w:rPr>
      </w:pP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F285070"/>
    <w:rsid w:val="135D53CE"/>
    <w:rsid w:val="14C56B2E"/>
    <w:rsid w:val="16526B10"/>
    <w:rsid w:val="17A4687A"/>
    <w:rsid w:val="182C7847"/>
    <w:rsid w:val="1A543468"/>
    <w:rsid w:val="1D617858"/>
    <w:rsid w:val="208D33E5"/>
    <w:rsid w:val="20FA2EB7"/>
    <w:rsid w:val="21F33882"/>
    <w:rsid w:val="254802B2"/>
    <w:rsid w:val="25AA75E5"/>
    <w:rsid w:val="268741DA"/>
    <w:rsid w:val="2CBD5BC5"/>
    <w:rsid w:val="2E190D0A"/>
    <w:rsid w:val="2FC20E9A"/>
    <w:rsid w:val="38460DD4"/>
    <w:rsid w:val="3AB015EA"/>
    <w:rsid w:val="3BFD3F92"/>
    <w:rsid w:val="3C282466"/>
    <w:rsid w:val="3D800344"/>
    <w:rsid w:val="419B0A01"/>
    <w:rsid w:val="46E05B05"/>
    <w:rsid w:val="4706758F"/>
    <w:rsid w:val="4787628A"/>
    <w:rsid w:val="48D100B1"/>
    <w:rsid w:val="490F6C51"/>
    <w:rsid w:val="494F050B"/>
    <w:rsid w:val="4F755684"/>
    <w:rsid w:val="520A1FCA"/>
    <w:rsid w:val="550C45FF"/>
    <w:rsid w:val="564D06AC"/>
    <w:rsid w:val="59106C36"/>
    <w:rsid w:val="5B761B58"/>
    <w:rsid w:val="5EFA5D61"/>
    <w:rsid w:val="5F294D59"/>
    <w:rsid w:val="60716921"/>
    <w:rsid w:val="628D0298"/>
    <w:rsid w:val="65F26020"/>
    <w:rsid w:val="66116446"/>
    <w:rsid w:val="6EDC0811"/>
    <w:rsid w:val="6F6235EB"/>
    <w:rsid w:val="6FBA65AA"/>
    <w:rsid w:val="73275B38"/>
    <w:rsid w:val="732A038D"/>
    <w:rsid w:val="743E6E40"/>
    <w:rsid w:val="7988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7</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2021-12-22T09:12:38Z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