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1：</w:t>
      </w:r>
    </w:p>
    <w:p>
      <w:pPr>
        <w:pStyle w:val="2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废品回收公司遴选要求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1. 废旧物资的拆卸费及搬运费需由回收商自行承担。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2. 回收商需在中标后7日内自行拆卸并运走废旧物资。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3. 回收商在组织拆卸搬运过程中要规范施工，不得破坏医院设施。造成医院设施损坏的要按价赔偿。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4. 回收商要规范施工，确保施工安全。收购过程中发生的人员意外伤害责任，由回收商承担。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5. 回收商回收结束，需要清理好物资所在区域卫生。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6、本项目将遴选三家回收候选商，每次废旧物资处置时，回收候选商根据实际废旧物资报价，报价最高者为本次中标回收商。</w:t>
      </w:r>
    </w:p>
    <w:p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：</w:t>
      </w:r>
    </w:p>
    <w:tbl>
      <w:tblPr>
        <w:tblStyle w:val="3"/>
        <w:tblpPr w:leftFromText="180" w:rightFromText="180" w:vertAnchor="text" w:horzAnchor="page" w:tblpXSpec="center" w:tblpY="704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4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非固定资产类废旧物资品目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金属材料（元/吨）</w:t>
            </w:r>
          </w:p>
        </w:tc>
        <w:tc>
          <w:tcPr>
            <w:tcW w:w="4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塑料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制品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（元/吨）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医疗耗材（元/件）</w:t>
            </w:r>
          </w:p>
        </w:tc>
        <w:tc>
          <w:tcPr>
            <w:tcW w:w="4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TDP烤灯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手术钳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手术剪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信息耗材（元/件）</w:t>
            </w:r>
          </w:p>
        </w:tc>
        <w:tc>
          <w:tcPr>
            <w:tcW w:w="4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打印机硒鼓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后勤耗材（元/件）</w:t>
            </w:r>
          </w:p>
        </w:tc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木质家具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消防管道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电杆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油漆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垃圾桶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：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用户情况表</w:t>
      </w:r>
    </w:p>
    <w:tbl>
      <w:tblPr>
        <w:tblStyle w:val="3"/>
        <w:tblW w:w="766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005"/>
        <w:gridCol w:w="1295"/>
        <w:gridCol w:w="1064"/>
        <w:gridCol w:w="1912"/>
        <w:gridCol w:w="5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省外省级以上单位用户</w:t>
            </w:r>
          </w:p>
        </w:tc>
        <w:tc>
          <w:tcPr>
            <w:tcW w:w="2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用户名称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合同价格或中标价格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中标时间</w:t>
            </w:r>
          </w:p>
        </w:tc>
        <w:tc>
          <w:tcPr>
            <w:tcW w:w="1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联系人及联系方式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省内省级单位用户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1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9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省内其他用户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057E6"/>
    <w:rsid w:val="4AE057E6"/>
    <w:rsid w:val="6EB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2021-12-28T11:44:00Z</dcterms:created>
  <dc:creator>沽噜沽噜</dc:creator>
  <cp:lastModifiedBy>沽噜沽噜</cp:lastModifiedBy>
  <dcterms:modified xsi:type="dcterms:W3CDTF">2021-12-29T10:35:48Z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E04F9952296943A1911B38BC81675404</vt:lpwstr>
  </property>
</Properties>
</file>