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四川省妇幼保健院 文艺汇演奖品采购项目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清单及要求</w:t>
      </w: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一、采购清单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一等奖 音响类产品，预算300元，数目50个。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二等奖 除螨仪类产品，预算200元，数目71个。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三等奖 吹风机类产品，预算100元，数目36个。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二、项目要求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一、二、三等奖请分别提供2-3个产品，并提供物品的详细参数，如图片、型号等，评标专家现场对供货物品进行核实和评定。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/>
        <w:jc w:val="both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</w:p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采购文件书装订顺序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1、封面（公司、项目、联系人、联系方式）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2、目录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3、报价一览表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4、营业执照（复印件）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5、组织机构代码证、税务登记证（复印件）（或三证合一），具有独立法人资格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6、法定代表人授权书、经办人授权书，法人、经办人身份证（复印件）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7、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产品清单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8、售后服务承诺书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反商业贿赂承诺书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业绩证明文件（近一年用户名单及联系人与联系方式及合同复印件，格式见附件3）。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封底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注：请务必按以上顺序装订资料，如有非中文资料，请同时提供中文翻译件。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黑体" w:hAnsi="黑体" w:eastAsia="黑体" w:cs="黑体"/>
          <w:color w:val="333333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四川省妇幼保健院采购项目报价一览表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Style w:val="5"/>
        <w:tblW w:w="92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871"/>
        <w:gridCol w:w="1500"/>
        <w:gridCol w:w="1166"/>
        <w:gridCol w:w="1576"/>
        <w:gridCol w:w="12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71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50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11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57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金额（元）</w:t>
            </w:r>
          </w:p>
        </w:tc>
        <w:tc>
          <w:tcPr>
            <w:tcW w:w="1217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一等奖奖品参考一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一等奖奖品参考二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二等奖奖品参考一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二等奖奖品参考二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三等奖奖品参考一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三等奖奖品参考二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注：1.报价应是最终用户验收合格后的总价，税费、采购文件规定的其它费用。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法定代表人或授权代表（签字）：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联系方式：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日期：</w:t>
      </w: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综合评分表</w:t>
      </w:r>
    </w:p>
    <w:tbl>
      <w:tblPr>
        <w:tblStyle w:val="6"/>
        <w:tblW w:w="10733" w:type="dxa"/>
        <w:tblInd w:w="-10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473"/>
        <w:gridCol w:w="924"/>
        <w:gridCol w:w="6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黑体" w:hAnsi="宋体" w:eastAsia="黑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黑体" w:hAnsi="宋体" w:eastAsia="黑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评分因素及权重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黑体" w:hAnsi="宋体" w:eastAsia="黑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644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黑体" w:hAnsi="宋体" w:eastAsia="黑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报价30%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6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价格分采用低价优先法计算，即满足谈判文件要求投标价格最低的投标报价为评标基准价。其价格分为满分。其他竞标人的价格分同意按照下列公式计算：投标报价得分=（评标基准价/投标报价）x30%x100。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产品功效30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%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6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根据我院采购清单，提供一、二、三等奖产品分别2个。从提供产品的质量如何、是否安全、节能、环保、规格、外观、性能（音响类：音质、音量大小、按键灵敏度；除螨仪类：吸尘力度、是否有紫外线杀菌、拍打力度等；吹风机类：寿命、档数、噪音大小、风速功率大小）等方面来评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highlight w:val="none"/>
              </w:rPr>
              <w:t>优的得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highlight w:val="none"/>
              </w:rPr>
              <w:t>分，良得20分，一般得15分，其他的得10分。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产品质量保证12%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6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出具证明产品有相符的证明书和质量检验证书，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确保产品全新，经过合法渠道进货的原装合格正品，并符合我方提出的采购要求，每提供一项得2分，最高得分10分。未提供的不得分。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根据供应商提供的质量保证措施进行综合评定，质量保证措施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所购产品是否来自正规渠道，是否全新无拆封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，优得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分，良得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中得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6分，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其它的得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分（未按要求提供的不得分）。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实施方案15%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6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根据各投标人所提供的整体供货方案进行综合评比：投标人的项目实施方案（包括：进度安排、供货方案、验收方案等）具体、详细、合理，有利于项目实施，对比综合评价为优的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分，良好得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分，一般及以下得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售后服务安排及承诺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%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6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根据供应商的后续工作及售后服务进行综合评定，后续工作及售后服务安排合理、可行、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及时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，优得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分，良得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分，其他得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分，（未按要求提供的不得分）。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机构业绩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%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6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根据供应商20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年1月1日起至今项目业绩，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服务每提供一个业绩证明的得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2分，最高得4分。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备注：评审时需提供业绩合同原件、签约单位联系人、联系电话及中标通知书备查。（未按要求提供的不得分）。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3" w:name="_GoBack"/>
      <w:bookmarkEnd w:id="3"/>
      <w:bookmarkStart w:id="0" w:name="_Toc95295163"/>
      <w:bookmarkStart w:id="1" w:name="_Toc174767233"/>
      <w:bookmarkStart w:id="2" w:name="_Toc237343703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主要项目业绩表</w:t>
      </w:r>
    </w:p>
    <w:tbl>
      <w:tblPr>
        <w:tblStyle w:val="5"/>
        <w:tblW w:w="87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1623"/>
        <w:gridCol w:w="2298"/>
        <w:gridCol w:w="21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业务类别</w:t>
            </w:r>
          </w:p>
        </w:tc>
        <w:tc>
          <w:tcPr>
            <w:tcW w:w="2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业主联系方式</w:t>
            </w:r>
          </w:p>
        </w:tc>
        <w:tc>
          <w:tcPr>
            <w:tcW w:w="2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zh-CN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zh-CN" w:eastAsia="zh-CN"/>
        </w:rPr>
        <w:t>法定代表人身份授权书</w:t>
      </w:r>
    </w:p>
    <w:p>
      <w:pPr>
        <w:rPr>
          <w:rFonts w:hint="eastAsia"/>
          <w:lang w:val="zh-CN"/>
        </w:rPr>
      </w:pPr>
    </w:p>
    <w:p>
      <w:pPr>
        <w:tabs>
          <w:tab w:val="left" w:pos="6300"/>
        </w:tabs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   本授权声明：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“                                          ”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</w:t>
      </w:r>
    </w:p>
    <w:p>
      <w:pPr>
        <w:tabs>
          <w:tab w:val="left" w:pos="6300"/>
        </w:tabs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投标人名称：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（加盖公章）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after="0"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pStyle w:val="4"/>
        <w:widowControl/>
        <w:shd w:val="clear" w:color="auto" w:fill="FFFFFF"/>
        <w:spacing w:line="400" w:lineRule="atLeast"/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00" w:lineRule="atLeast"/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00" w:lineRule="atLeast"/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00" w:lineRule="atLeast"/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400" w:lineRule="atLeast"/>
        <w:rPr>
          <w:rFonts w:ascii="黑体" w:hAnsi="黑体" w:eastAsia="黑体" w:cs="Segoe UI"/>
          <w:color w:val="auto"/>
          <w:sz w:val="18"/>
          <w:szCs w:val="18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hint="eastAsia" w:ascii="黑体" w:hAnsi="Segoe UI" w:eastAsia="黑体" w:cs="仿宋_GB2312"/>
          <w:color w:val="auto"/>
          <w:sz w:val="32"/>
          <w:szCs w:val="32"/>
          <w:shd w:val="clear" w:color="auto" w:fill="FFFFFF"/>
        </w:rPr>
        <w:t>  </w:t>
      </w:r>
    </w:p>
    <w:p>
      <w:pPr>
        <w:pStyle w:val="4"/>
        <w:widowControl/>
        <w:shd w:val="clear" w:color="auto" w:fill="FFFFFF"/>
        <w:jc w:val="center"/>
        <w:rPr>
          <w:rFonts w:ascii="仿宋_GB2312" w:hAnsi="Segoe UI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Segoe UI" w:eastAsia="方正小标宋简体" w:cs="仿宋_GB2312"/>
          <w:color w:val="auto"/>
          <w:sz w:val="32"/>
          <w:szCs w:val="32"/>
          <w:shd w:val="clear" w:color="auto" w:fill="FFFFFF"/>
        </w:rPr>
        <w:t>供应商符合《政府采购法》第二十二条规定条件的承诺函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致</w:t>
      </w:r>
      <w:r>
        <w:rPr>
          <w:rFonts w:hint="eastAsia" w:eastAsia="仿宋_GB2312"/>
          <w:color w:val="auto"/>
          <w:sz w:val="28"/>
          <w:szCs w:val="28"/>
        </w:rPr>
        <w:t>  </w:t>
      </w:r>
      <w:r>
        <w:rPr>
          <w:rFonts w:hint="eastAsia" w:eastAsia="仿宋_GB2312"/>
          <w:color w:val="auto"/>
          <w:sz w:val="28"/>
          <w:szCs w:val="28"/>
          <w:u w:val="single"/>
        </w:rPr>
        <w:t>                       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</w:p>
    <w:p>
      <w:pPr>
        <w:ind w:firstLine="565" w:firstLineChars="202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本公司</w:t>
      </w:r>
      <w:r>
        <w:rPr>
          <w:rFonts w:hint="eastAsia" w:eastAsia="仿宋_GB2312"/>
          <w:color w:val="auto"/>
          <w:sz w:val="28"/>
          <w:szCs w:val="28"/>
          <w:u w:val="single"/>
        </w:rPr>
        <w:t>                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>            </w:t>
      </w:r>
      <w:r>
        <w:rPr>
          <w:rFonts w:hint="eastAsia" w:ascii="仿宋_GB2312" w:eastAsia="仿宋_GB2312"/>
          <w:color w:val="auto"/>
          <w:sz w:val="28"/>
          <w:szCs w:val="28"/>
        </w:rPr>
        <w:t>（公司名称）参加</w:t>
      </w:r>
      <w:r>
        <w:rPr>
          <w:rFonts w:hint="eastAsia" w:eastAsia="仿宋_GB2312"/>
          <w:color w:val="auto"/>
          <w:sz w:val="28"/>
          <w:szCs w:val="28"/>
          <w:u w:val="single"/>
        </w:rPr>
        <w:t>                       </w:t>
      </w:r>
      <w:r>
        <w:rPr>
          <w:rFonts w:hint="eastAsia" w:ascii="仿宋_GB2312" w:eastAsia="仿宋_GB2312"/>
          <w:color w:val="auto"/>
          <w:sz w:val="28"/>
          <w:szCs w:val="28"/>
        </w:rPr>
        <w:t>（项目名称）的竞争性谈判活动，现承诺：</w:t>
      </w:r>
    </w:p>
    <w:p>
      <w:pPr>
        <w:ind w:firstLine="565" w:firstLineChars="202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我公司满足政府采购法第二十二条关于供应商的资格要求：</w:t>
      </w:r>
    </w:p>
    <w:p>
      <w:pPr>
        <w:ind w:firstLine="565" w:firstLineChars="202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（一）具有独立承担民事责任的能力；</w:t>
      </w:r>
    </w:p>
    <w:p>
      <w:pPr>
        <w:ind w:firstLine="565" w:firstLineChars="202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（二）具有良好的商业信誉和健全的财务会计制度；</w:t>
      </w:r>
    </w:p>
    <w:p>
      <w:pPr>
        <w:ind w:firstLine="565" w:firstLineChars="202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（三）具有履行合同所必需的设备和专业技术能力；</w:t>
      </w:r>
    </w:p>
    <w:p>
      <w:pPr>
        <w:ind w:firstLine="565" w:firstLineChars="202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（四）有依法缴纳税收和社会保障资金的良好记录；</w:t>
      </w:r>
    </w:p>
    <w:p>
      <w:pPr>
        <w:ind w:firstLine="565" w:firstLineChars="202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（五）参加政府采购活动前三年内，在经营活动中没有重大违法记录。</w:t>
      </w:r>
    </w:p>
    <w:p>
      <w:pPr>
        <w:ind w:firstLine="565" w:firstLineChars="202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（六）法律、行政法规规定的其他条件。</w:t>
      </w:r>
    </w:p>
    <w:p>
      <w:pPr>
        <w:ind w:firstLine="565" w:firstLineChars="202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同时也满足本项目法律法规规章规定关于供应商的其他资格性条件，未参与本采购项目前期咨询论证，不属于禁止参加竞争性谈判的供应商。</w:t>
      </w:r>
    </w:p>
    <w:p>
      <w:pPr>
        <w:ind w:firstLine="565" w:firstLineChars="202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如违反以上承诺，本公司愿承担一切法律责任。</w:t>
      </w:r>
    </w:p>
    <w:p>
      <w:pPr>
        <w:pStyle w:val="2"/>
      </w:pP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 xml:space="preserve">                  </w:t>
      </w:r>
      <w:r>
        <w:rPr>
          <w:rFonts w:hint="eastAsia" w:ascii="仿宋_GB2312" w:eastAsia="仿宋_GB2312"/>
          <w:color w:val="auto"/>
          <w:sz w:val="28"/>
          <w:szCs w:val="28"/>
        </w:rPr>
        <w:t>供</w:t>
      </w:r>
      <w:r>
        <w:rPr>
          <w:rFonts w:hint="eastAsia" w:eastAsia="仿宋_GB2312"/>
          <w:color w:val="auto"/>
          <w:sz w:val="28"/>
          <w:szCs w:val="28"/>
        </w:rPr>
        <w:t> </w:t>
      </w:r>
      <w:r>
        <w:rPr>
          <w:rFonts w:hint="eastAsia" w:ascii="仿宋_GB2312" w:eastAsia="仿宋_GB2312"/>
          <w:color w:val="auto"/>
          <w:sz w:val="28"/>
          <w:szCs w:val="28"/>
        </w:rPr>
        <w:t>应</w:t>
      </w:r>
      <w:r>
        <w:rPr>
          <w:rFonts w:hint="eastAsia" w:eastAsia="仿宋_GB2312"/>
          <w:color w:val="auto"/>
          <w:sz w:val="28"/>
          <w:szCs w:val="28"/>
        </w:rPr>
        <w:t> </w:t>
      </w:r>
      <w:r>
        <w:rPr>
          <w:rFonts w:hint="eastAsia" w:ascii="仿宋_GB2312" w:eastAsia="仿宋_GB2312"/>
          <w:color w:val="auto"/>
          <w:sz w:val="28"/>
          <w:szCs w:val="28"/>
        </w:rPr>
        <w:t>商：</w:t>
      </w:r>
      <w:r>
        <w:rPr>
          <w:rFonts w:hint="eastAsia" w:eastAsia="仿宋_GB2312"/>
          <w:color w:val="auto"/>
          <w:sz w:val="28"/>
          <w:szCs w:val="28"/>
        </w:rPr>
        <w:t>                      </w:t>
      </w:r>
      <w:r>
        <w:rPr>
          <w:rFonts w:hint="eastAsia" w:ascii="仿宋_GB2312" w:eastAsia="仿宋_GB2312"/>
          <w:color w:val="auto"/>
          <w:sz w:val="28"/>
          <w:szCs w:val="28"/>
        </w:rPr>
        <w:t>（盖单位公章）</w:t>
      </w:r>
    </w:p>
    <w:p>
      <w:pPr>
        <w:ind w:firstLine="2380" w:firstLineChars="8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法定代表人或其委托代理人：</w:t>
      </w:r>
      <w:r>
        <w:rPr>
          <w:rFonts w:hint="eastAsia" w:eastAsia="仿宋_GB2312"/>
          <w:color w:val="auto"/>
          <w:sz w:val="28"/>
          <w:szCs w:val="28"/>
        </w:rPr>
        <w:t>       </w:t>
      </w:r>
      <w:r>
        <w:rPr>
          <w:rFonts w:hint="eastAsia" w:ascii="仿宋_GB2312" w:eastAsia="仿宋_GB2312"/>
          <w:color w:val="auto"/>
          <w:sz w:val="28"/>
          <w:szCs w:val="28"/>
        </w:rPr>
        <w:t>（签字或盖章）</w:t>
      </w:r>
    </w:p>
    <w:p>
      <w:pPr>
        <w:rPr>
          <w:rFonts w:hint="eastAsia"/>
        </w:rPr>
      </w:pPr>
      <w:r>
        <w:rPr>
          <w:rFonts w:hint="eastAsia" w:eastAsia="仿宋_GB2312"/>
          <w:color w:val="auto"/>
          <w:sz w:val="28"/>
          <w:szCs w:val="28"/>
        </w:rPr>
        <w:t>                                              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eastAsia="仿宋_GB2312"/>
          <w:color w:val="auto"/>
          <w:sz w:val="28"/>
          <w:szCs w:val="28"/>
        </w:rPr>
        <w:t>        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eastAsia="仿宋_GB2312"/>
          <w:color w:val="auto"/>
          <w:sz w:val="28"/>
          <w:szCs w:val="28"/>
        </w:rPr>
        <w:t>        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附件8</w:t>
      </w:r>
    </w:p>
    <w:p>
      <w:pPr>
        <w:pStyle w:val="4"/>
        <w:widowControl/>
        <w:shd w:val="clear" w:color="auto" w:fill="FFFFFF"/>
        <w:jc w:val="center"/>
        <w:rPr>
          <w:rFonts w:hint="eastAsia" w:ascii="方正小标宋简体" w:hAnsi="Segoe UI" w:eastAsia="方正小标宋简体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Segoe UI" w:eastAsia="方正小标宋简体" w:cs="仿宋_GB2312"/>
          <w:color w:val="auto"/>
          <w:sz w:val="32"/>
          <w:szCs w:val="32"/>
          <w:shd w:val="clear" w:color="auto" w:fill="FFFFFF"/>
        </w:rPr>
        <w:t>反商业贿赂承诺书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1.不与其他投标人相互串通投标报价，损害贵院的合法权益；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2.不与招标人串通投标，损害国家利益、社会公共利益或他人的合法权益；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3.不以向招标人或者评标委员会成员行贿的手段谋取中标；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4.竞标报价不违反相关法律的规定，也不以他人名义投标或者以其他方式弄虚作假，骗取中标；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5.保证不以其他任何方式扰乱贵院的招标工作；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6.保证不在药品销售、医疗器械、设备、物资、基建工程竞标中采取账外暗中给予回扣的手段腐蚀、贿赂医护、药剂人员、干部等其他相关人员；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8.保证不让贵院临床科室、药剂部门以及有关人员登记、统计医生处方或为此提供方便，干扰贵院的正常工作秩序；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9.保证不以其他任何不正当竞争手段推销药品、医疗器械、设备、物资。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2.对本厂家、商家、公司相关工作人员作出严肃处理；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240" w:lineRule="auto"/>
        <w:ind w:firstLine="560" w:firstLineChars="200"/>
        <w:jc w:val="both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六、采购物质名称：</w:t>
      </w:r>
    </w:p>
    <w:p>
      <w:pPr>
        <w:widowControl/>
        <w:spacing w:line="240" w:lineRule="auto"/>
        <w:ind w:firstLine="560" w:firstLineChars="200"/>
        <w:jc w:val="both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    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240" w:lineRule="auto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240" w:lineRule="auto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240" w:lineRule="auto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承诺企业名称（公章）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   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    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          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法人代表或委托代理人（承诺人）</w:t>
      </w:r>
    </w:p>
    <w:p>
      <w:pPr>
        <w:spacing w:line="240" w:lineRule="auto"/>
        <w:rPr>
          <w:rFonts w:hint="eastAsia" w:ascii="仿宋_GB2312" w:eastAsia="仿宋_GB2312"/>
          <w:sz w:val="28"/>
          <w:szCs w:val="28"/>
        </w:rPr>
      </w:pPr>
    </w:p>
    <w:p/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71FBA"/>
    <w:rsid w:val="01885910"/>
    <w:rsid w:val="02F02347"/>
    <w:rsid w:val="03187320"/>
    <w:rsid w:val="03610A19"/>
    <w:rsid w:val="044A74C8"/>
    <w:rsid w:val="0618529A"/>
    <w:rsid w:val="065C6DB0"/>
    <w:rsid w:val="09D96D36"/>
    <w:rsid w:val="0A2F5840"/>
    <w:rsid w:val="0C3D7EDC"/>
    <w:rsid w:val="0E8474DE"/>
    <w:rsid w:val="102F49CB"/>
    <w:rsid w:val="16304B77"/>
    <w:rsid w:val="17C4240D"/>
    <w:rsid w:val="197036E1"/>
    <w:rsid w:val="19D032D9"/>
    <w:rsid w:val="1A052E52"/>
    <w:rsid w:val="1C387FA6"/>
    <w:rsid w:val="1F801119"/>
    <w:rsid w:val="1F8C3CB7"/>
    <w:rsid w:val="1FB87561"/>
    <w:rsid w:val="213D14CF"/>
    <w:rsid w:val="22CF51BF"/>
    <w:rsid w:val="22EE11B0"/>
    <w:rsid w:val="231918B3"/>
    <w:rsid w:val="25CA020F"/>
    <w:rsid w:val="25E8185F"/>
    <w:rsid w:val="26147FA8"/>
    <w:rsid w:val="26B856B6"/>
    <w:rsid w:val="27D74A6C"/>
    <w:rsid w:val="2853062B"/>
    <w:rsid w:val="286F5EE4"/>
    <w:rsid w:val="28AF39C7"/>
    <w:rsid w:val="2A09359F"/>
    <w:rsid w:val="2A9B7B33"/>
    <w:rsid w:val="2ACB4CA0"/>
    <w:rsid w:val="2AD8617C"/>
    <w:rsid w:val="2B3046EC"/>
    <w:rsid w:val="2E050661"/>
    <w:rsid w:val="2E7D2606"/>
    <w:rsid w:val="2FBB5B5C"/>
    <w:rsid w:val="309D3F50"/>
    <w:rsid w:val="37904282"/>
    <w:rsid w:val="38134EF5"/>
    <w:rsid w:val="39171A2F"/>
    <w:rsid w:val="39437493"/>
    <w:rsid w:val="3A2D1122"/>
    <w:rsid w:val="3AF40AF8"/>
    <w:rsid w:val="3D3C446C"/>
    <w:rsid w:val="3DF007FE"/>
    <w:rsid w:val="3EE55FA8"/>
    <w:rsid w:val="3F0C2B6A"/>
    <w:rsid w:val="3F522DEF"/>
    <w:rsid w:val="3FBA731C"/>
    <w:rsid w:val="3FFB35B5"/>
    <w:rsid w:val="43CF629C"/>
    <w:rsid w:val="43EF2284"/>
    <w:rsid w:val="448A6B93"/>
    <w:rsid w:val="44DF1B8D"/>
    <w:rsid w:val="45D3591D"/>
    <w:rsid w:val="47651674"/>
    <w:rsid w:val="47923746"/>
    <w:rsid w:val="4A17781B"/>
    <w:rsid w:val="4A572F11"/>
    <w:rsid w:val="4BE36845"/>
    <w:rsid w:val="4C8729BB"/>
    <w:rsid w:val="4CB27ADB"/>
    <w:rsid w:val="4E8F4D8D"/>
    <w:rsid w:val="4F8A3D7A"/>
    <w:rsid w:val="4FB442D1"/>
    <w:rsid w:val="51347300"/>
    <w:rsid w:val="51BB3C7A"/>
    <w:rsid w:val="51E64D1A"/>
    <w:rsid w:val="529A4B46"/>
    <w:rsid w:val="55875D1F"/>
    <w:rsid w:val="56041695"/>
    <w:rsid w:val="5A5E4800"/>
    <w:rsid w:val="5CF71FBA"/>
    <w:rsid w:val="5D9F4E21"/>
    <w:rsid w:val="60064219"/>
    <w:rsid w:val="61433479"/>
    <w:rsid w:val="63031BE2"/>
    <w:rsid w:val="64785956"/>
    <w:rsid w:val="67433876"/>
    <w:rsid w:val="6815434B"/>
    <w:rsid w:val="69AD29EB"/>
    <w:rsid w:val="69DD52B6"/>
    <w:rsid w:val="6A241438"/>
    <w:rsid w:val="6C0912DC"/>
    <w:rsid w:val="6C7B124D"/>
    <w:rsid w:val="6EAD206B"/>
    <w:rsid w:val="6F667618"/>
    <w:rsid w:val="6F715165"/>
    <w:rsid w:val="704C4EDB"/>
    <w:rsid w:val="708230CD"/>
    <w:rsid w:val="74B72109"/>
    <w:rsid w:val="74FC196D"/>
    <w:rsid w:val="75AB6CD6"/>
    <w:rsid w:val="77B64FF5"/>
    <w:rsid w:val="791407B4"/>
    <w:rsid w:val="797D4961"/>
    <w:rsid w:val="7D4E164A"/>
    <w:rsid w:val="7E571811"/>
    <w:rsid w:val="7EC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2021-12-07T06:20:00Z</dcterms:created>
  <dc:creator>Claire</dc:creator>
  <cp:lastModifiedBy>Claire</cp:lastModifiedBy>
  <cp:lastPrinted>2021-12-31T00:33:00Z</cp:lastPrinted>
  <dcterms:modified xsi:type="dcterms:W3CDTF">2022-01-07T01:31:10Z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A222A854578141EF8295A2C8155DA287</vt:lpwstr>
  </property>
</Properties>
</file>