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3411"/>
        <w:gridCol w:w="4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抑制素B检测试剂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（1）评价男性不育患者的生精功能状态；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（2）监测放、化疗对男性生精功能的损伤、精索静脉曲张治疗疗效评估；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（3）区分梗阻性无精子症与非梗阻性无精子症；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（4）对阻塞性无精子症病人睾丸精子抽吸( TESE) 的预测；</w:t>
            </w:r>
          </w:p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</w:rPr>
              <w:t>（5）评估女性卵巢储备功能。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9076CFD"/>
    <w:rsid w:val="25B92429"/>
    <w:rsid w:val="2BC34039"/>
    <w:rsid w:val="2E2530A8"/>
    <w:rsid w:val="38E36B7C"/>
    <w:rsid w:val="390302F7"/>
    <w:rsid w:val="3F855F59"/>
    <w:rsid w:val="4D765AC4"/>
    <w:rsid w:val="51BC63A3"/>
    <w:rsid w:val="525C6EC0"/>
    <w:rsid w:val="546C11D1"/>
    <w:rsid w:val="5E7F3009"/>
    <w:rsid w:val="601B24D2"/>
    <w:rsid w:val="603D7B39"/>
    <w:rsid w:val="60AD697F"/>
    <w:rsid w:val="68757197"/>
    <w:rsid w:val="69614300"/>
    <w:rsid w:val="6B9507CF"/>
    <w:rsid w:val="6C611C93"/>
    <w:rsid w:val="7B58021D"/>
    <w:rsid w:val="7B5C53AE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2022-01-17T01:18:08Z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