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04" w:rsidRDefault="00DC6A05">
      <w:pPr>
        <w:widowControl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附件</w:t>
      </w:r>
    </w:p>
    <w:p w:rsidR="00480904" w:rsidRDefault="00480904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</w:p>
    <w:p w:rsidR="00480904" w:rsidRDefault="00DC6A05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四川省妇幼保健院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四川省妇女儿童医院</w:t>
      </w:r>
    </w:p>
    <w:p w:rsidR="00480904" w:rsidRDefault="00DC6A05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晋阳院区高压系统预防性试验、检测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调研方案</w:t>
      </w:r>
    </w:p>
    <w:p w:rsidR="00480904" w:rsidRDefault="00480904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b/>
          <w:bCs/>
          <w:sz w:val="27"/>
          <w:szCs w:val="27"/>
        </w:rPr>
      </w:pPr>
      <w:r>
        <w:rPr>
          <w:rFonts w:ascii="楷体" w:eastAsia="楷体" w:hAnsi="楷体" w:cs="楷体" w:hint="eastAsia"/>
          <w:b/>
          <w:bCs/>
          <w:sz w:val="27"/>
          <w:szCs w:val="27"/>
        </w:rPr>
        <w:t>一、概况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1.</w:t>
      </w:r>
      <w:r>
        <w:rPr>
          <w:rFonts w:ascii="楷体" w:eastAsia="楷体" w:hAnsi="楷体" w:cs="楷体" w:hint="eastAsia"/>
          <w:sz w:val="27"/>
          <w:szCs w:val="27"/>
        </w:rPr>
        <w:t>项目名称：四</w:t>
      </w:r>
      <w:r>
        <w:rPr>
          <w:rFonts w:ascii="楷体" w:eastAsia="楷体" w:hAnsi="楷体" w:cs="楷体" w:hint="eastAsia"/>
          <w:sz w:val="27"/>
          <w:szCs w:val="27"/>
        </w:rPr>
        <w:t>川省妇幼保健院</w:t>
      </w:r>
      <w:r>
        <w:rPr>
          <w:rFonts w:ascii="楷体" w:eastAsia="楷体" w:hAnsi="楷体" w:cs="楷体" w:hint="eastAsia"/>
          <w:sz w:val="27"/>
          <w:szCs w:val="27"/>
        </w:rPr>
        <w:t xml:space="preserve"> </w:t>
      </w:r>
      <w:r>
        <w:rPr>
          <w:rFonts w:ascii="楷体" w:eastAsia="楷体" w:hAnsi="楷体" w:cs="楷体" w:hint="eastAsia"/>
          <w:sz w:val="27"/>
          <w:szCs w:val="27"/>
        </w:rPr>
        <w:t>四川省妇女儿童医院</w:t>
      </w:r>
      <w:r>
        <w:rPr>
          <w:rFonts w:ascii="楷体" w:eastAsia="楷体" w:hAnsi="楷体" w:cs="楷体" w:hint="eastAsia"/>
          <w:sz w:val="27"/>
          <w:szCs w:val="27"/>
        </w:rPr>
        <w:t xml:space="preserve"> </w:t>
      </w:r>
      <w:r>
        <w:rPr>
          <w:rFonts w:ascii="楷体" w:eastAsia="楷体" w:hAnsi="楷体" w:cs="楷体" w:hint="eastAsia"/>
          <w:sz w:val="27"/>
          <w:szCs w:val="27"/>
        </w:rPr>
        <w:t>晋阳院区高压系统预防性试验、检测</w:t>
      </w:r>
      <w:r>
        <w:rPr>
          <w:rFonts w:ascii="楷体" w:eastAsia="楷体" w:hAnsi="楷体" w:cs="楷体" w:hint="eastAsia"/>
          <w:sz w:val="27"/>
          <w:szCs w:val="27"/>
        </w:rPr>
        <w:t xml:space="preserve"> </w:t>
      </w:r>
      <w:r>
        <w:rPr>
          <w:rFonts w:ascii="楷体" w:eastAsia="楷体" w:hAnsi="楷体" w:cs="楷体" w:hint="eastAsia"/>
          <w:sz w:val="27"/>
          <w:szCs w:val="27"/>
        </w:rPr>
        <w:t>调研方案项目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2.</w:t>
      </w:r>
      <w:r>
        <w:rPr>
          <w:rFonts w:ascii="楷体" w:eastAsia="楷体" w:hAnsi="楷体" w:cs="楷体" w:hint="eastAsia"/>
          <w:sz w:val="27"/>
          <w:szCs w:val="27"/>
        </w:rPr>
        <w:t>项目位置：成都市武侯区沙堰西二街</w:t>
      </w:r>
      <w:r>
        <w:rPr>
          <w:rFonts w:ascii="楷体" w:eastAsia="楷体" w:hAnsi="楷体" w:cs="楷体" w:hint="eastAsia"/>
          <w:sz w:val="27"/>
          <w:szCs w:val="27"/>
        </w:rPr>
        <w:t>290</w:t>
      </w:r>
      <w:r>
        <w:rPr>
          <w:rFonts w:ascii="楷体" w:eastAsia="楷体" w:hAnsi="楷体" w:cs="楷体" w:hint="eastAsia"/>
          <w:sz w:val="27"/>
          <w:szCs w:val="27"/>
        </w:rPr>
        <w:t>号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3.</w:t>
      </w:r>
      <w:r>
        <w:rPr>
          <w:rFonts w:ascii="楷体" w:eastAsia="楷体" w:hAnsi="楷体" w:cs="楷体" w:hint="eastAsia"/>
          <w:sz w:val="27"/>
          <w:szCs w:val="27"/>
        </w:rPr>
        <w:t>本次招标不接受联合体投标</w:t>
      </w:r>
      <w:r>
        <w:rPr>
          <w:rFonts w:ascii="楷体" w:eastAsia="楷体" w:hAnsi="楷体" w:cs="楷体" w:hint="eastAsia"/>
          <w:sz w:val="27"/>
          <w:szCs w:val="27"/>
        </w:rPr>
        <w:t>。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b/>
          <w:bCs/>
          <w:sz w:val="27"/>
          <w:szCs w:val="27"/>
        </w:rPr>
      </w:pPr>
      <w:r>
        <w:rPr>
          <w:rFonts w:ascii="楷体" w:eastAsia="楷体" w:hAnsi="楷体" w:cs="楷体" w:hint="eastAsia"/>
          <w:b/>
          <w:bCs/>
          <w:sz w:val="27"/>
          <w:szCs w:val="27"/>
        </w:rPr>
        <w:t>二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、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检测依据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/>
          <w:sz w:val="27"/>
          <w:szCs w:val="27"/>
        </w:rPr>
        <w:t>根据《电力设备预防性试验规程》、《继电保护和电网安全自动装置检验规程》和《继电保护和电网安全自动装置试验方法》，</w:t>
      </w:r>
      <w:r>
        <w:rPr>
          <w:rFonts w:ascii="楷体" w:eastAsia="楷体" w:hAnsi="楷体" w:cs="楷体"/>
          <w:sz w:val="27"/>
          <w:szCs w:val="27"/>
        </w:rPr>
        <w:t>按照规定</w:t>
      </w:r>
      <w:r>
        <w:rPr>
          <w:rFonts w:ascii="楷体" w:eastAsia="楷体" w:hAnsi="楷体" w:cs="楷体"/>
          <w:b/>
          <w:bCs/>
          <w:sz w:val="27"/>
          <w:szCs w:val="27"/>
        </w:rPr>
        <w:t>每年</w:t>
      </w:r>
      <w:r>
        <w:rPr>
          <w:rFonts w:ascii="楷体" w:eastAsia="楷体" w:hAnsi="楷体" w:cs="楷体"/>
          <w:sz w:val="27"/>
          <w:szCs w:val="27"/>
        </w:rPr>
        <w:t>需要对</w:t>
      </w:r>
      <w:r>
        <w:rPr>
          <w:rFonts w:ascii="楷体" w:eastAsia="楷体" w:hAnsi="楷体" w:cs="楷体" w:hint="eastAsia"/>
          <w:sz w:val="27"/>
          <w:szCs w:val="27"/>
        </w:rPr>
        <w:t>全院高压系统进行一次预</w:t>
      </w:r>
      <w:r>
        <w:rPr>
          <w:rFonts w:ascii="楷体" w:eastAsia="楷体" w:hAnsi="楷体" w:cs="楷体" w:hint="eastAsia"/>
          <w:color w:val="333333"/>
          <w:sz w:val="27"/>
          <w:szCs w:val="27"/>
          <w:shd w:val="clear" w:color="auto" w:fill="FFFFFF"/>
        </w:rPr>
        <w:t>防性检修、检测</w:t>
      </w:r>
      <w:r>
        <w:rPr>
          <w:rFonts w:ascii="楷体" w:eastAsia="楷体" w:hAnsi="楷体" w:cs="楷体" w:hint="eastAsia"/>
          <w:color w:val="333333"/>
          <w:sz w:val="27"/>
          <w:szCs w:val="27"/>
          <w:shd w:val="clear" w:color="auto" w:fill="FFFFFF"/>
        </w:rPr>
        <w:t>。</w:t>
      </w:r>
      <w:r>
        <w:rPr>
          <w:rFonts w:ascii="楷体" w:eastAsia="楷体" w:hAnsi="楷体" w:cs="楷体" w:hint="eastAsia"/>
          <w:sz w:val="27"/>
          <w:szCs w:val="27"/>
        </w:rPr>
        <w:t>以便及时发现设备潜在的缺陷或隐患；例如绕组直流电阻、绝缘电阻、介质损耗因数、直流泄漏、直流耐压、交流耐压、绝缘油试验等。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hAnsi="楷体" w:cs="楷体"/>
          <w:b/>
          <w:bCs/>
          <w:sz w:val="27"/>
          <w:szCs w:val="27"/>
        </w:rPr>
      </w:pPr>
      <w:r>
        <w:rPr>
          <w:rFonts w:ascii="楷体" w:eastAsia="楷体" w:hAnsi="楷体" w:cs="楷体" w:hint="eastAsia"/>
          <w:b/>
          <w:bCs/>
          <w:sz w:val="27"/>
          <w:szCs w:val="27"/>
        </w:rPr>
        <w:t>三、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本项目预防性试验、检测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初步方案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1</w:t>
      </w:r>
      <w:r>
        <w:rPr>
          <w:rFonts w:ascii="楷体" w:eastAsia="楷体" w:hAnsi="楷体" w:cs="楷体" w:hint="eastAsia"/>
          <w:sz w:val="27"/>
          <w:szCs w:val="27"/>
        </w:rPr>
        <w:t>.</w:t>
      </w:r>
      <w:r>
        <w:rPr>
          <w:rFonts w:ascii="楷体" w:eastAsia="楷体" w:hAnsi="楷体" w:cs="楷体" w:hint="eastAsia"/>
          <w:sz w:val="27"/>
          <w:szCs w:val="27"/>
        </w:rPr>
        <w:t>工程位置：成都市武侯区沙堰西二街</w:t>
      </w:r>
      <w:r>
        <w:rPr>
          <w:rFonts w:ascii="楷体" w:eastAsia="楷体" w:hAnsi="楷体" w:cs="楷体" w:hint="eastAsia"/>
          <w:sz w:val="27"/>
          <w:szCs w:val="27"/>
        </w:rPr>
        <w:t>290</w:t>
      </w:r>
      <w:r>
        <w:rPr>
          <w:rFonts w:ascii="楷体" w:eastAsia="楷体" w:hAnsi="楷体" w:cs="楷体" w:hint="eastAsia"/>
          <w:sz w:val="27"/>
          <w:szCs w:val="27"/>
        </w:rPr>
        <w:t>号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2.</w:t>
      </w:r>
      <w:r>
        <w:rPr>
          <w:rFonts w:ascii="楷体" w:eastAsia="楷体" w:hAnsi="楷体" w:cs="楷体" w:hint="eastAsia"/>
          <w:sz w:val="27"/>
          <w:szCs w:val="27"/>
        </w:rPr>
        <w:t>工程概况：</w:t>
      </w:r>
      <w:r>
        <w:rPr>
          <w:rFonts w:ascii="楷体" w:eastAsia="楷体" w:hAnsi="楷体" w:cs="楷体" w:hint="eastAsia"/>
          <w:sz w:val="27"/>
          <w:szCs w:val="27"/>
        </w:rPr>
        <w:t>1</w:t>
      </w:r>
      <w:r>
        <w:rPr>
          <w:rFonts w:ascii="楷体" w:eastAsia="楷体" w:hAnsi="楷体" w:cs="楷体" w:hint="eastAsia"/>
          <w:sz w:val="27"/>
          <w:szCs w:val="27"/>
        </w:rPr>
        <w:t>期</w:t>
      </w:r>
      <w:r>
        <w:rPr>
          <w:rFonts w:ascii="楷体" w:eastAsia="楷体" w:hAnsi="楷体" w:cs="楷体" w:hint="eastAsia"/>
          <w:sz w:val="27"/>
          <w:szCs w:val="27"/>
        </w:rPr>
        <w:t>、</w:t>
      </w:r>
      <w:r>
        <w:rPr>
          <w:rFonts w:ascii="楷体" w:eastAsia="楷体" w:hAnsi="楷体" w:cs="楷体" w:hint="eastAsia"/>
          <w:sz w:val="27"/>
          <w:szCs w:val="27"/>
        </w:rPr>
        <w:t>2</w:t>
      </w:r>
      <w:r>
        <w:rPr>
          <w:rFonts w:ascii="楷体" w:eastAsia="楷体" w:hAnsi="楷体" w:cs="楷体" w:hint="eastAsia"/>
          <w:sz w:val="27"/>
          <w:szCs w:val="27"/>
        </w:rPr>
        <w:t>期</w:t>
      </w:r>
      <w:r>
        <w:rPr>
          <w:rFonts w:ascii="楷体" w:eastAsia="楷体" w:hAnsi="楷体" w:cs="楷体" w:hint="eastAsia"/>
          <w:sz w:val="27"/>
          <w:szCs w:val="27"/>
        </w:rPr>
        <w:t>配电室电力电缆、</w:t>
      </w:r>
      <w:r>
        <w:rPr>
          <w:rFonts w:ascii="楷体" w:eastAsia="楷体" w:hAnsi="楷体" w:cs="楷体" w:hint="eastAsia"/>
          <w:sz w:val="27"/>
          <w:szCs w:val="27"/>
        </w:rPr>
        <w:t>6</w:t>
      </w:r>
      <w:r>
        <w:rPr>
          <w:rFonts w:ascii="楷体" w:eastAsia="楷体" w:hAnsi="楷体" w:cs="楷体" w:hint="eastAsia"/>
          <w:sz w:val="27"/>
          <w:szCs w:val="27"/>
        </w:rPr>
        <w:t>台变压器（含</w:t>
      </w:r>
      <w:r>
        <w:rPr>
          <w:rFonts w:ascii="楷体" w:eastAsia="楷体" w:hAnsi="楷体" w:cs="楷体" w:hint="eastAsia"/>
          <w:sz w:val="27"/>
          <w:szCs w:val="27"/>
        </w:rPr>
        <w:t>1</w:t>
      </w:r>
      <w:r>
        <w:rPr>
          <w:rFonts w:ascii="楷体" w:eastAsia="楷体" w:hAnsi="楷体" w:cs="楷体" w:hint="eastAsia"/>
          <w:sz w:val="27"/>
          <w:szCs w:val="27"/>
        </w:rPr>
        <w:t>台</w:t>
      </w:r>
      <w:r>
        <w:rPr>
          <w:rFonts w:ascii="楷体" w:eastAsia="楷体" w:hAnsi="楷体" w:cs="楷体" w:hint="eastAsia"/>
          <w:sz w:val="27"/>
          <w:szCs w:val="27"/>
        </w:rPr>
        <w:t>630KVA</w:t>
      </w:r>
      <w:r>
        <w:rPr>
          <w:rFonts w:ascii="楷体" w:eastAsia="楷体" w:hAnsi="楷体" w:cs="楷体" w:hint="eastAsia"/>
          <w:sz w:val="27"/>
          <w:szCs w:val="27"/>
        </w:rPr>
        <w:t>油浸式变压器）。高压柜</w:t>
      </w:r>
      <w:r>
        <w:rPr>
          <w:rFonts w:ascii="楷体" w:eastAsia="楷体" w:hAnsi="楷体" w:cs="楷体" w:hint="eastAsia"/>
          <w:sz w:val="27"/>
          <w:szCs w:val="27"/>
        </w:rPr>
        <w:t>17</w:t>
      </w:r>
      <w:r>
        <w:rPr>
          <w:rFonts w:ascii="楷体" w:eastAsia="楷体" w:hAnsi="楷体" w:cs="楷体" w:hint="eastAsia"/>
          <w:sz w:val="27"/>
          <w:szCs w:val="27"/>
        </w:rPr>
        <w:t>组、低压柜</w:t>
      </w:r>
      <w:r>
        <w:rPr>
          <w:rFonts w:ascii="楷体" w:eastAsia="楷体" w:hAnsi="楷体" w:cs="楷体" w:hint="eastAsia"/>
          <w:sz w:val="27"/>
          <w:szCs w:val="27"/>
        </w:rPr>
        <w:t>47</w:t>
      </w:r>
      <w:r>
        <w:rPr>
          <w:rFonts w:ascii="楷体" w:eastAsia="楷体" w:hAnsi="楷体" w:cs="楷体" w:hint="eastAsia"/>
          <w:sz w:val="27"/>
          <w:szCs w:val="27"/>
        </w:rPr>
        <w:t>组，绝缘工具，真空断路器，电压</w:t>
      </w:r>
      <w:r>
        <w:rPr>
          <w:rFonts w:ascii="楷体" w:eastAsia="楷体" w:hAnsi="楷体" w:cs="楷体" w:hint="eastAsia"/>
          <w:sz w:val="27"/>
          <w:szCs w:val="27"/>
        </w:rPr>
        <w:t>/</w:t>
      </w:r>
      <w:r>
        <w:rPr>
          <w:rFonts w:ascii="楷体" w:eastAsia="楷体" w:hAnsi="楷体" w:cs="楷体" w:hint="eastAsia"/>
          <w:sz w:val="27"/>
          <w:szCs w:val="27"/>
        </w:rPr>
        <w:t>电流表，避雷器的绝缘，耐压试验以及高低配电</w:t>
      </w:r>
      <w:proofErr w:type="gramStart"/>
      <w:r>
        <w:rPr>
          <w:rFonts w:ascii="楷体" w:eastAsia="楷体" w:hAnsi="楷体" w:cs="楷体" w:hint="eastAsia"/>
          <w:sz w:val="27"/>
          <w:szCs w:val="27"/>
        </w:rPr>
        <w:t>室设施</w:t>
      </w:r>
      <w:proofErr w:type="gramEnd"/>
      <w:r>
        <w:rPr>
          <w:rFonts w:ascii="楷体" w:eastAsia="楷体" w:hAnsi="楷体" w:cs="楷体" w:hint="eastAsia"/>
          <w:sz w:val="27"/>
          <w:szCs w:val="27"/>
        </w:rPr>
        <w:t>设备检修维护</w:t>
      </w:r>
      <w:r>
        <w:rPr>
          <w:rFonts w:ascii="楷体" w:eastAsia="楷体" w:hAnsi="楷体" w:cs="楷体" w:hint="eastAsia"/>
          <w:sz w:val="27"/>
          <w:szCs w:val="27"/>
        </w:rPr>
        <w:t>，</w:t>
      </w:r>
      <w:r>
        <w:rPr>
          <w:rFonts w:ascii="楷体" w:eastAsia="楷体" w:hAnsi="楷体" w:cs="楷体" w:hint="eastAsia"/>
          <w:sz w:val="27"/>
          <w:szCs w:val="27"/>
        </w:rPr>
        <w:t>2</w:t>
      </w:r>
      <w:r>
        <w:rPr>
          <w:rFonts w:ascii="楷体" w:eastAsia="楷体" w:hAnsi="楷体" w:cs="楷体" w:hint="eastAsia"/>
          <w:sz w:val="27"/>
          <w:szCs w:val="27"/>
        </w:rPr>
        <w:t>、</w:t>
      </w:r>
      <w:r>
        <w:rPr>
          <w:rFonts w:ascii="楷体" w:eastAsia="楷体" w:hAnsi="楷体" w:cs="楷体" w:hint="eastAsia"/>
          <w:sz w:val="27"/>
          <w:szCs w:val="27"/>
        </w:rPr>
        <w:t>3</w:t>
      </w:r>
      <w:r>
        <w:rPr>
          <w:rFonts w:ascii="楷体" w:eastAsia="楷体" w:hAnsi="楷体" w:cs="楷体" w:hint="eastAsia"/>
          <w:sz w:val="27"/>
          <w:szCs w:val="27"/>
        </w:rPr>
        <w:t>、</w:t>
      </w:r>
      <w:r>
        <w:rPr>
          <w:rFonts w:ascii="楷体" w:eastAsia="楷体" w:hAnsi="楷体" w:cs="楷体" w:hint="eastAsia"/>
          <w:sz w:val="27"/>
          <w:szCs w:val="27"/>
        </w:rPr>
        <w:t>4</w:t>
      </w:r>
      <w:r>
        <w:rPr>
          <w:rFonts w:ascii="楷体" w:eastAsia="楷体" w:hAnsi="楷体" w:cs="楷体" w:hint="eastAsia"/>
          <w:sz w:val="27"/>
          <w:szCs w:val="27"/>
        </w:rPr>
        <w:t>号旧楼绝缘性检测，更换已经损坏的开关、更换部分损坏开关、按钮和零配件</w:t>
      </w:r>
      <w:r>
        <w:rPr>
          <w:rFonts w:ascii="楷体" w:eastAsia="楷体" w:hAnsi="楷体" w:cs="楷体" w:hint="eastAsia"/>
          <w:sz w:val="27"/>
          <w:szCs w:val="27"/>
        </w:rPr>
        <w:t>。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lastRenderedPageBreak/>
        <w:t>工程方案与施工要求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（一）工程要求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1.</w:t>
      </w:r>
      <w:r>
        <w:rPr>
          <w:rFonts w:ascii="楷体" w:eastAsia="楷体" w:hAnsi="楷体" w:cs="楷体" w:hint="eastAsia"/>
          <w:sz w:val="27"/>
          <w:szCs w:val="27"/>
        </w:rPr>
        <w:t>分段停电检修。（</w:t>
      </w:r>
      <w:r>
        <w:rPr>
          <w:rFonts w:ascii="楷体" w:eastAsia="楷体" w:hAnsi="楷体" w:cs="楷体" w:hint="eastAsia"/>
          <w:sz w:val="27"/>
          <w:szCs w:val="27"/>
        </w:rPr>
        <w:t>1#</w:t>
      </w:r>
      <w:r>
        <w:rPr>
          <w:rFonts w:ascii="楷体" w:eastAsia="楷体" w:hAnsi="楷体" w:cs="楷体" w:hint="eastAsia"/>
          <w:sz w:val="27"/>
          <w:szCs w:val="27"/>
        </w:rPr>
        <w:t>市电</w:t>
      </w:r>
      <w:r>
        <w:rPr>
          <w:rFonts w:ascii="楷体" w:eastAsia="楷体" w:hAnsi="楷体" w:cs="楷体" w:hint="eastAsia"/>
          <w:sz w:val="27"/>
          <w:szCs w:val="27"/>
        </w:rPr>
        <w:t>10KV</w:t>
      </w:r>
      <w:r>
        <w:rPr>
          <w:rFonts w:ascii="楷体" w:eastAsia="楷体" w:hAnsi="楷体" w:cs="楷体" w:hint="eastAsia"/>
          <w:sz w:val="27"/>
          <w:szCs w:val="27"/>
        </w:rPr>
        <w:t>主供电</w:t>
      </w:r>
      <w:r>
        <w:rPr>
          <w:rFonts w:ascii="楷体" w:eastAsia="楷体" w:hAnsi="楷体" w:cs="楷体" w:hint="eastAsia"/>
          <w:sz w:val="27"/>
          <w:szCs w:val="27"/>
        </w:rPr>
        <w:t>9831</w:t>
      </w:r>
      <w:r>
        <w:rPr>
          <w:rFonts w:ascii="楷体" w:eastAsia="楷体" w:hAnsi="楷体" w:cs="楷体" w:hint="eastAsia"/>
          <w:sz w:val="27"/>
          <w:szCs w:val="27"/>
        </w:rPr>
        <w:t>省妇幼开关站，</w:t>
      </w:r>
      <w:r>
        <w:rPr>
          <w:rFonts w:ascii="楷体" w:eastAsia="楷体" w:hAnsi="楷体" w:cs="楷体" w:hint="eastAsia"/>
          <w:sz w:val="27"/>
          <w:szCs w:val="27"/>
        </w:rPr>
        <w:t>2#</w:t>
      </w:r>
      <w:r>
        <w:rPr>
          <w:rFonts w:ascii="楷体" w:eastAsia="楷体" w:hAnsi="楷体" w:cs="楷体" w:hint="eastAsia"/>
          <w:sz w:val="27"/>
          <w:szCs w:val="27"/>
        </w:rPr>
        <w:t>市电</w:t>
      </w:r>
      <w:r>
        <w:rPr>
          <w:rFonts w:ascii="楷体" w:eastAsia="楷体" w:hAnsi="楷体" w:cs="楷体" w:hint="eastAsia"/>
          <w:sz w:val="27"/>
          <w:szCs w:val="27"/>
        </w:rPr>
        <w:t>10KV9871</w:t>
      </w:r>
      <w:proofErr w:type="gramStart"/>
      <w:r>
        <w:rPr>
          <w:rFonts w:ascii="楷体" w:eastAsia="楷体" w:hAnsi="楷体" w:cs="楷体" w:hint="eastAsia"/>
          <w:sz w:val="27"/>
          <w:szCs w:val="27"/>
        </w:rPr>
        <w:t>瑞泰锦</w:t>
      </w:r>
      <w:proofErr w:type="gramEnd"/>
      <w:r>
        <w:rPr>
          <w:rFonts w:ascii="楷体" w:eastAsia="楷体" w:hAnsi="楷体" w:cs="楷体" w:hint="eastAsia"/>
          <w:sz w:val="27"/>
          <w:szCs w:val="27"/>
        </w:rPr>
        <w:t>城开关站和发电机供电）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2.</w:t>
      </w:r>
      <w:r>
        <w:rPr>
          <w:rFonts w:ascii="楷体" w:eastAsia="楷体" w:hAnsi="楷体" w:cs="楷体" w:hint="eastAsia"/>
          <w:sz w:val="27"/>
          <w:szCs w:val="27"/>
        </w:rPr>
        <w:t>先停主供，低压负载由发电机供电。高压和变压器实施检修测试。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3.</w:t>
      </w:r>
      <w:r>
        <w:rPr>
          <w:rFonts w:ascii="楷体" w:eastAsia="楷体" w:hAnsi="楷体" w:cs="楷体" w:hint="eastAsia"/>
          <w:sz w:val="27"/>
          <w:szCs w:val="27"/>
        </w:rPr>
        <w:t>停发电机，低压负载由</w:t>
      </w:r>
      <w:r>
        <w:rPr>
          <w:rFonts w:ascii="楷体" w:eastAsia="楷体" w:hAnsi="楷体" w:cs="楷体" w:hint="eastAsia"/>
          <w:sz w:val="27"/>
          <w:szCs w:val="27"/>
        </w:rPr>
        <w:t>2#</w:t>
      </w:r>
      <w:r>
        <w:rPr>
          <w:rFonts w:ascii="楷体" w:eastAsia="楷体" w:hAnsi="楷体" w:cs="楷体" w:hint="eastAsia"/>
          <w:sz w:val="27"/>
          <w:szCs w:val="27"/>
        </w:rPr>
        <w:t>市电备供电</w:t>
      </w:r>
      <w:proofErr w:type="gramStart"/>
      <w:r>
        <w:rPr>
          <w:rFonts w:ascii="楷体" w:eastAsia="楷体" w:hAnsi="楷体" w:cs="楷体" w:hint="eastAsia"/>
          <w:sz w:val="27"/>
          <w:szCs w:val="27"/>
        </w:rPr>
        <w:t>供电</w:t>
      </w:r>
      <w:proofErr w:type="gramEnd"/>
      <w:r>
        <w:rPr>
          <w:rFonts w:ascii="楷体" w:eastAsia="楷体" w:hAnsi="楷体" w:cs="楷体" w:hint="eastAsia"/>
          <w:sz w:val="27"/>
          <w:szCs w:val="27"/>
        </w:rPr>
        <w:t>。</w:t>
      </w:r>
      <w:r>
        <w:rPr>
          <w:rFonts w:ascii="楷体" w:eastAsia="楷体" w:hAnsi="楷体" w:cs="楷体" w:hint="eastAsia"/>
          <w:sz w:val="27"/>
          <w:szCs w:val="27"/>
        </w:rPr>
        <w:t>1</w:t>
      </w:r>
      <w:r>
        <w:rPr>
          <w:rFonts w:ascii="楷体" w:eastAsia="楷体" w:hAnsi="楷体" w:cs="楷体" w:hint="eastAsia"/>
          <w:sz w:val="27"/>
          <w:szCs w:val="27"/>
        </w:rPr>
        <w:t>期、</w:t>
      </w:r>
      <w:r>
        <w:rPr>
          <w:rFonts w:ascii="楷体" w:eastAsia="楷体" w:hAnsi="楷体" w:cs="楷体" w:hint="eastAsia"/>
          <w:sz w:val="27"/>
          <w:szCs w:val="27"/>
        </w:rPr>
        <w:t>2</w:t>
      </w:r>
      <w:r>
        <w:rPr>
          <w:rFonts w:ascii="楷体" w:eastAsia="楷体" w:hAnsi="楷体" w:cs="楷体" w:hint="eastAsia"/>
          <w:sz w:val="27"/>
          <w:szCs w:val="27"/>
        </w:rPr>
        <w:t>期低压分段运行交换检修。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4.</w:t>
      </w:r>
      <w:r>
        <w:rPr>
          <w:rFonts w:ascii="楷体" w:eastAsia="楷体" w:hAnsi="楷体" w:cs="楷体" w:hint="eastAsia"/>
          <w:sz w:val="27"/>
          <w:szCs w:val="27"/>
        </w:rPr>
        <w:t>对检修出的问题进行处理，包括已损坏的电流表约若干只（电流表需要调研单位现场核实）；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5.</w:t>
      </w:r>
      <w:r>
        <w:rPr>
          <w:rFonts w:ascii="楷体" w:eastAsia="楷体" w:hAnsi="楷体" w:cs="楷体" w:hint="eastAsia"/>
          <w:sz w:val="27"/>
          <w:szCs w:val="27"/>
        </w:rPr>
        <w:t>在整个过程中，检修人员必须持证挂牌上岗，严格按照规程规范作业。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6.</w:t>
      </w:r>
      <w:r>
        <w:rPr>
          <w:rFonts w:ascii="楷体" w:eastAsia="楷体" w:hAnsi="楷体" w:cs="楷体" w:hint="eastAsia"/>
          <w:sz w:val="27"/>
          <w:szCs w:val="27"/>
        </w:rPr>
        <w:t>各设备完成试验检测后，须取得技术质量监督局认可的合格证备查。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7</w:t>
      </w:r>
      <w:r>
        <w:rPr>
          <w:rFonts w:ascii="楷体" w:eastAsia="楷体" w:hAnsi="楷体" w:cs="楷体" w:hint="eastAsia"/>
          <w:sz w:val="27"/>
          <w:szCs w:val="27"/>
        </w:rPr>
        <w:t>、更换部分损坏开关、按钮和零配件。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9</w:t>
      </w:r>
      <w:r>
        <w:rPr>
          <w:rFonts w:ascii="楷体" w:eastAsia="楷体" w:hAnsi="楷体" w:cs="楷体" w:hint="eastAsia"/>
          <w:sz w:val="27"/>
          <w:szCs w:val="27"/>
        </w:rPr>
        <w:t>、调研单位可以根据单位实际情况，提供甲方合理建议。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b/>
          <w:bCs/>
          <w:sz w:val="27"/>
          <w:szCs w:val="27"/>
        </w:rPr>
      </w:pPr>
      <w:r>
        <w:rPr>
          <w:rFonts w:ascii="楷体" w:eastAsia="楷体" w:hAnsi="楷体" w:cs="楷体" w:hint="eastAsia"/>
          <w:b/>
          <w:bCs/>
          <w:sz w:val="27"/>
          <w:szCs w:val="27"/>
        </w:rPr>
        <w:t>四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、供方应提供技术文件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1.</w:t>
      </w:r>
      <w:r>
        <w:rPr>
          <w:rFonts w:ascii="楷体" w:eastAsia="楷体" w:hAnsi="楷体" w:cs="楷体" w:hint="eastAsia"/>
          <w:sz w:val="27"/>
          <w:szCs w:val="27"/>
        </w:rPr>
        <w:t>检测设备清单</w:t>
      </w:r>
      <w:r>
        <w:rPr>
          <w:rFonts w:ascii="楷体" w:eastAsia="楷体" w:hAnsi="楷体" w:cs="楷体" w:hint="eastAsia"/>
          <w:sz w:val="27"/>
          <w:szCs w:val="27"/>
        </w:rPr>
        <w:t>；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2.</w:t>
      </w:r>
      <w:r>
        <w:rPr>
          <w:rFonts w:ascii="楷体" w:eastAsia="楷体" w:hAnsi="楷体" w:cs="楷体" w:hint="eastAsia"/>
          <w:sz w:val="27"/>
          <w:szCs w:val="27"/>
        </w:rPr>
        <w:t>检测人员配置、包括检测人员操作证书</w:t>
      </w:r>
      <w:r>
        <w:rPr>
          <w:rFonts w:ascii="楷体" w:eastAsia="楷体" w:hAnsi="楷体" w:cs="楷体" w:hint="eastAsia"/>
          <w:sz w:val="27"/>
          <w:szCs w:val="27"/>
        </w:rPr>
        <w:t>；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3</w:t>
      </w:r>
      <w:r>
        <w:rPr>
          <w:rFonts w:ascii="楷体" w:eastAsia="楷体" w:hAnsi="楷体" w:cs="楷体" w:hint="eastAsia"/>
          <w:sz w:val="27"/>
          <w:szCs w:val="27"/>
        </w:rPr>
        <w:t>.</w:t>
      </w:r>
      <w:r>
        <w:rPr>
          <w:rFonts w:ascii="楷体" w:eastAsia="楷体" w:hAnsi="楷体" w:cs="楷体" w:hint="eastAsia"/>
          <w:sz w:val="27"/>
          <w:szCs w:val="27"/>
        </w:rPr>
        <w:t>更换配件和</w:t>
      </w:r>
      <w:r>
        <w:rPr>
          <w:rFonts w:ascii="楷体" w:eastAsia="楷体" w:hAnsi="楷体" w:cs="楷体" w:hint="eastAsia"/>
          <w:sz w:val="27"/>
          <w:szCs w:val="27"/>
        </w:rPr>
        <w:t>产品技术手册；所有产品和相关配套设备需符合国家相关标准、规范；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五</w:t>
      </w:r>
      <w:r>
        <w:rPr>
          <w:rFonts w:ascii="楷体" w:eastAsia="楷体" w:hAnsi="楷体" w:cs="楷体" w:hint="eastAsia"/>
          <w:sz w:val="27"/>
          <w:szCs w:val="27"/>
        </w:rPr>
        <w:t>、技术服务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1.</w:t>
      </w:r>
      <w:r>
        <w:rPr>
          <w:rFonts w:ascii="楷体" w:eastAsia="楷体" w:hAnsi="楷体" w:cs="楷体" w:hint="eastAsia"/>
          <w:sz w:val="27"/>
          <w:szCs w:val="27"/>
        </w:rPr>
        <w:t>售前服务工作，介绍</w:t>
      </w:r>
      <w:r>
        <w:rPr>
          <w:rFonts w:ascii="楷体" w:eastAsia="楷体" w:hAnsi="楷体" w:cs="楷体" w:hint="eastAsia"/>
          <w:sz w:val="27"/>
          <w:szCs w:val="27"/>
        </w:rPr>
        <w:t>检测方案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lastRenderedPageBreak/>
        <w:t>2.</w:t>
      </w:r>
      <w:r>
        <w:rPr>
          <w:rFonts w:ascii="楷体" w:eastAsia="楷体" w:hAnsi="楷体" w:cs="楷体" w:hint="eastAsia"/>
          <w:sz w:val="27"/>
          <w:szCs w:val="27"/>
        </w:rPr>
        <w:t>供方应派有经验的技术人员做好售后服务工作，包括设备放置和使用培训等。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3.</w:t>
      </w:r>
      <w:r>
        <w:rPr>
          <w:rFonts w:ascii="楷体" w:eastAsia="楷体" w:hAnsi="楷体" w:cs="楷体" w:hint="eastAsia"/>
          <w:sz w:val="27"/>
          <w:szCs w:val="27"/>
        </w:rPr>
        <w:t>应急处理方案</w:t>
      </w:r>
      <w:r>
        <w:rPr>
          <w:rFonts w:ascii="楷体" w:eastAsia="楷体" w:hAnsi="楷体" w:cs="楷体" w:hint="eastAsia"/>
          <w:sz w:val="27"/>
          <w:szCs w:val="27"/>
        </w:rPr>
        <w:t>；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4</w:t>
      </w:r>
      <w:r>
        <w:rPr>
          <w:rFonts w:ascii="楷体" w:eastAsia="楷体" w:hAnsi="楷体" w:cs="楷体" w:hint="eastAsia"/>
          <w:sz w:val="27"/>
          <w:szCs w:val="27"/>
        </w:rPr>
        <w:t>.</w:t>
      </w:r>
      <w:r>
        <w:rPr>
          <w:rFonts w:ascii="楷体" w:eastAsia="楷体" w:hAnsi="楷体" w:cs="楷体" w:hint="eastAsia"/>
          <w:sz w:val="27"/>
          <w:szCs w:val="27"/>
        </w:rPr>
        <w:t>质保期内因设备产品问题不能正常工作时，供方应免费为需方及时修理或更换。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b/>
          <w:bCs/>
          <w:sz w:val="27"/>
          <w:szCs w:val="27"/>
        </w:rPr>
      </w:pPr>
      <w:r>
        <w:rPr>
          <w:rFonts w:ascii="楷体" w:eastAsia="楷体" w:hAnsi="楷体" w:cs="楷体" w:hint="eastAsia"/>
          <w:b/>
          <w:bCs/>
          <w:sz w:val="27"/>
          <w:szCs w:val="27"/>
        </w:rPr>
        <w:t>六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、供应商资格要求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1.</w:t>
      </w:r>
      <w:r>
        <w:rPr>
          <w:rFonts w:ascii="楷体" w:eastAsia="楷体" w:hAnsi="楷体" w:cs="楷体" w:hint="eastAsia"/>
          <w:sz w:val="27"/>
          <w:szCs w:val="27"/>
        </w:rPr>
        <w:t>参与投标的投标人</w:t>
      </w:r>
      <w:r>
        <w:rPr>
          <w:rFonts w:ascii="楷体" w:eastAsia="楷体" w:hAnsi="楷体" w:cs="楷体" w:hint="eastAsia"/>
          <w:sz w:val="27"/>
          <w:szCs w:val="27"/>
        </w:rPr>
        <w:t>必须具有独立法人资格，具有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四级承装类或四级</w:t>
      </w:r>
      <w:proofErr w:type="gramStart"/>
      <w:r>
        <w:rPr>
          <w:rFonts w:ascii="楷体" w:eastAsia="楷体" w:hAnsi="楷体" w:cs="楷体" w:hint="eastAsia"/>
          <w:b/>
          <w:bCs/>
          <w:sz w:val="27"/>
          <w:szCs w:val="27"/>
        </w:rPr>
        <w:t>承试类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或</w:t>
      </w:r>
      <w:proofErr w:type="gramEnd"/>
      <w:r>
        <w:rPr>
          <w:rFonts w:ascii="楷体" w:eastAsia="楷体" w:hAnsi="楷体" w:cs="楷体" w:hint="eastAsia"/>
          <w:b/>
          <w:bCs/>
          <w:sz w:val="27"/>
          <w:szCs w:val="27"/>
        </w:rPr>
        <w:t>四级承修类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或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及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以上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资质</w:t>
      </w:r>
      <w:r>
        <w:rPr>
          <w:rFonts w:ascii="楷体" w:eastAsia="楷体" w:hAnsi="楷体" w:cs="楷体" w:hint="eastAsia"/>
          <w:sz w:val="27"/>
          <w:szCs w:val="27"/>
        </w:rPr>
        <w:t>。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2</w:t>
      </w:r>
      <w:r>
        <w:rPr>
          <w:rFonts w:ascii="楷体" w:eastAsia="楷体" w:hAnsi="楷体" w:cs="楷体" w:hint="eastAsia"/>
          <w:sz w:val="27"/>
          <w:szCs w:val="27"/>
        </w:rPr>
        <w:t>.</w:t>
      </w:r>
      <w:r>
        <w:rPr>
          <w:rFonts w:ascii="楷体" w:eastAsia="楷体" w:hAnsi="楷体" w:cs="楷体" w:hint="eastAsia"/>
          <w:sz w:val="27"/>
          <w:szCs w:val="27"/>
        </w:rPr>
        <w:t>本次招标不接受联合体投标。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b/>
          <w:bCs/>
          <w:sz w:val="27"/>
          <w:szCs w:val="27"/>
        </w:rPr>
      </w:pPr>
      <w:r>
        <w:rPr>
          <w:rFonts w:ascii="楷体" w:eastAsia="楷体" w:hAnsi="楷体" w:cs="楷体" w:hint="eastAsia"/>
          <w:b/>
          <w:bCs/>
          <w:sz w:val="27"/>
          <w:szCs w:val="27"/>
        </w:rPr>
        <w:t>七、工期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color w:val="FF0000"/>
          <w:sz w:val="27"/>
          <w:szCs w:val="27"/>
        </w:rPr>
      </w:pPr>
      <w:r>
        <w:rPr>
          <w:rFonts w:ascii="楷体" w:eastAsia="楷体" w:hAnsi="楷体" w:cs="楷体" w:hint="eastAsia"/>
          <w:color w:val="FF0000"/>
          <w:sz w:val="27"/>
          <w:szCs w:val="27"/>
        </w:rPr>
        <w:t>10</w:t>
      </w:r>
      <w:r>
        <w:rPr>
          <w:rFonts w:ascii="楷体" w:eastAsia="楷体" w:hAnsi="楷体" w:cs="楷体" w:hint="eastAsia"/>
          <w:color w:val="FF0000"/>
          <w:sz w:val="27"/>
          <w:szCs w:val="27"/>
        </w:rPr>
        <w:t>个小时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b/>
          <w:bCs/>
          <w:color w:val="FF0000"/>
          <w:sz w:val="27"/>
          <w:szCs w:val="27"/>
        </w:rPr>
      </w:pPr>
      <w:r>
        <w:rPr>
          <w:rFonts w:ascii="楷体" w:eastAsia="楷体" w:hAnsi="楷体" w:cs="楷体" w:hint="eastAsia"/>
          <w:b/>
          <w:bCs/>
          <w:sz w:val="27"/>
          <w:szCs w:val="27"/>
        </w:rPr>
        <w:t>八</w:t>
      </w:r>
      <w:r>
        <w:rPr>
          <w:rFonts w:ascii="楷体" w:eastAsia="楷体" w:hAnsi="楷体" w:cs="楷体" w:hint="eastAsia"/>
          <w:b/>
          <w:bCs/>
          <w:sz w:val="27"/>
          <w:szCs w:val="27"/>
        </w:rPr>
        <w:t>、报价要求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1.</w:t>
      </w:r>
      <w:r>
        <w:rPr>
          <w:rFonts w:ascii="楷体" w:eastAsia="楷体" w:hAnsi="楷体" w:cs="楷体" w:hint="eastAsia"/>
          <w:sz w:val="27"/>
          <w:szCs w:val="27"/>
        </w:rPr>
        <w:t>报价组成：人工费、材料费、施工机具使用费、企业管理费、利润，</w:t>
      </w:r>
      <w:proofErr w:type="gramStart"/>
      <w:r>
        <w:rPr>
          <w:rFonts w:ascii="楷体" w:eastAsia="楷体" w:hAnsi="楷体" w:cs="楷体" w:hint="eastAsia"/>
          <w:sz w:val="27"/>
          <w:szCs w:val="27"/>
        </w:rPr>
        <w:t>规</w:t>
      </w:r>
      <w:proofErr w:type="gramEnd"/>
      <w:r>
        <w:rPr>
          <w:rFonts w:ascii="楷体" w:eastAsia="楷体" w:hAnsi="楷体" w:cs="楷体" w:hint="eastAsia"/>
          <w:sz w:val="27"/>
          <w:szCs w:val="27"/>
        </w:rPr>
        <w:t>费，税金及施工图设计等；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2.</w:t>
      </w:r>
      <w:r>
        <w:rPr>
          <w:rFonts w:ascii="楷体" w:eastAsia="楷体" w:hAnsi="楷体" w:cs="楷体" w:hint="eastAsia"/>
          <w:sz w:val="27"/>
          <w:szCs w:val="27"/>
        </w:rPr>
        <w:t>项目清单及项目设计方案仅作为本项目的报价比选依据，本项目包含但不限于清单的内容；要求投标人综合考虑实施过程中其它因素对本项目的影响，中标后，中标价格将不接受调整。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3.</w:t>
      </w:r>
      <w:r>
        <w:rPr>
          <w:rFonts w:ascii="楷体" w:eastAsia="楷体" w:hAnsi="楷体" w:cs="楷体" w:hint="eastAsia"/>
          <w:sz w:val="27"/>
          <w:szCs w:val="27"/>
        </w:rPr>
        <w:t>报价方式：</w:t>
      </w:r>
      <w:r>
        <w:rPr>
          <w:rFonts w:ascii="楷体" w:eastAsia="楷体" w:hAnsi="楷体" w:cs="楷体" w:hint="eastAsia"/>
          <w:sz w:val="27"/>
          <w:szCs w:val="27"/>
        </w:rPr>
        <w:t>包干</w:t>
      </w:r>
      <w:r>
        <w:rPr>
          <w:rFonts w:ascii="楷体" w:eastAsia="楷体" w:hAnsi="楷体" w:cs="楷体" w:hint="eastAsia"/>
          <w:sz w:val="27"/>
          <w:szCs w:val="27"/>
        </w:rPr>
        <w:t>总价。</w:t>
      </w:r>
    </w:p>
    <w:p w:rsidR="00480904" w:rsidRDefault="00480904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</w:p>
    <w:p w:rsidR="00480904" w:rsidRDefault="00480904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</w:p>
    <w:p w:rsidR="00480904" w:rsidRDefault="00480904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</w:p>
    <w:p w:rsidR="00480904" w:rsidRDefault="00480904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</w:p>
    <w:p w:rsidR="00480904" w:rsidRDefault="00DC6A05">
      <w:pPr>
        <w:widowControl/>
        <w:numPr>
          <w:ilvl w:val="0"/>
          <w:numId w:val="1"/>
        </w:numPr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lastRenderedPageBreak/>
        <w:t>报价一览表</w:t>
      </w:r>
    </w:p>
    <w:p w:rsidR="00480904" w:rsidRDefault="00480904">
      <w:pPr>
        <w:widowControl/>
        <w:spacing w:line="440" w:lineRule="atLeast"/>
        <w:jc w:val="left"/>
        <w:rPr>
          <w:rFonts w:ascii="楷体" w:eastAsia="楷体" w:hAnsi="楷体" w:cs="楷体"/>
          <w:sz w:val="27"/>
          <w:szCs w:val="27"/>
        </w:rPr>
      </w:pPr>
    </w:p>
    <w:p w:rsidR="00480904" w:rsidRDefault="00DC6A05">
      <w:pPr>
        <w:widowControl/>
        <w:spacing w:line="440" w:lineRule="atLeast"/>
        <w:ind w:firstLine="566"/>
        <w:jc w:val="center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四</w:t>
      </w:r>
      <w:r>
        <w:rPr>
          <w:rFonts w:ascii="楷体" w:eastAsia="楷体" w:hAnsi="楷体" w:cs="楷体" w:hint="eastAsia"/>
          <w:sz w:val="27"/>
          <w:szCs w:val="27"/>
        </w:rPr>
        <w:t>川省妇幼保健院晋阳院区高压系统预防性试验、检测</w:t>
      </w:r>
    </w:p>
    <w:p w:rsidR="00480904" w:rsidRDefault="00DC6A05">
      <w:pPr>
        <w:widowControl/>
        <w:spacing w:line="440" w:lineRule="atLeast"/>
        <w:ind w:firstLine="566"/>
        <w:jc w:val="center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项目报价一览表</w:t>
      </w:r>
    </w:p>
    <w:tbl>
      <w:tblPr>
        <w:tblpPr w:leftFromText="180" w:rightFromText="180" w:vertAnchor="text" w:horzAnchor="page" w:tblpX="1225" w:tblpY="204"/>
        <w:tblOverlap w:val="never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1762"/>
        <w:gridCol w:w="1221"/>
        <w:gridCol w:w="1063"/>
        <w:gridCol w:w="2766"/>
      </w:tblGrid>
      <w:tr w:rsidR="00480904">
        <w:trPr>
          <w:trHeight w:val="645"/>
        </w:trPr>
        <w:tc>
          <w:tcPr>
            <w:tcW w:w="2650" w:type="dxa"/>
            <w:vAlign w:val="center"/>
          </w:tcPr>
          <w:p w:rsidR="00480904" w:rsidRDefault="00DC6A05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  <w:r>
              <w:rPr>
                <w:rFonts w:ascii="楷体" w:eastAsia="楷体" w:hAnsi="楷体" w:cs="楷体" w:hint="eastAsia"/>
                <w:sz w:val="27"/>
                <w:szCs w:val="27"/>
              </w:rPr>
              <w:t xml:space="preserve"> </w:t>
            </w:r>
            <w:r>
              <w:rPr>
                <w:rFonts w:ascii="楷体" w:eastAsia="楷体" w:hAnsi="楷体" w:cs="楷体" w:hint="eastAsia"/>
                <w:sz w:val="27"/>
                <w:szCs w:val="27"/>
              </w:rPr>
              <w:t>名</w:t>
            </w:r>
            <w:r>
              <w:rPr>
                <w:rFonts w:ascii="楷体" w:eastAsia="楷体" w:hAnsi="楷体" w:cs="楷体" w:hint="eastAsia"/>
                <w:sz w:val="27"/>
                <w:szCs w:val="27"/>
              </w:rPr>
              <w:t xml:space="preserve">  </w:t>
            </w:r>
            <w:r>
              <w:rPr>
                <w:rFonts w:ascii="楷体" w:eastAsia="楷体" w:hAnsi="楷体" w:cs="楷体" w:hint="eastAsia"/>
                <w:sz w:val="27"/>
                <w:szCs w:val="27"/>
              </w:rPr>
              <w:t>称</w:t>
            </w:r>
          </w:p>
        </w:tc>
        <w:tc>
          <w:tcPr>
            <w:tcW w:w="1762" w:type="dxa"/>
            <w:vAlign w:val="center"/>
          </w:tcPr>
          <w:p w:rsidR="00480904" w:rsidRDefault="00DC6A05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  <w:r>
              <w:rPr>
                <w:rFonts w:ascii="楷体" w:eastAsia="楷体" w:hAnsi="楷体" w:cs="楷体" w:hint="eastAsia"/>
                <w:sz w:val="27"/>
                <w:szCs w:val="27"/>
              </w:rPr>
              <w:t>报价</w:t>
            </w:r>
          </w:p>
          <w:p w:rsidR="00480904" w:rsidRDefault="00480904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221" w:type="dxa"/>
            <w:vAlign w:val="center"/>
          </w:tcPr>
          <w:p w:rsidR="00480904" w:rsidRDefault="00DC6A05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  <w:r>
              <w:rPr>
                <w:rFonts w:ascii="楷体" w:eastAsia="楷体" w:hAnsi="楷体" w:cs="楷体" w:hint="eastAsia"/>
                <w:sz w:val="27"/>
                <w:szCs w:val="27"/>
              </w:rPr>
              <w:t>工期（服务期）</w:t>
            </w:r>
          </w:p>
        </w:tc>
        <w:tc>
          <w:tcPr>
            <w:tcW w:w="1063" w:type="dxa"/>
            <w:vAlign w:val="center"/>
          </w:tcPr>
          <w:p w:rsidR="00480904" w:rsidRDefault="00DC6A05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  <w:r>
              <w:rPr>
                <w:rFonts w:ascii="楷体" w:eastAsia="楷体" w:hAnsi="楷体" w:cs="楷体" w:hint="eastAsia"/>
                <w:sz w:val="27"/>
                <w:szCs w:val="27"/>
              </w:rPr>
              <w:t>质量标准</w:t>
            </w:r>
          </w:p>
        </w:tc>
        <w:tc>
          <w:tcPr>
            <w:tcW w:w="2766" w:type="dxa"/>
            <w:vAlign w:val="center"/>
          </w:tcPr>
          <w:p w:rsidR="00480904" w:rsidRDefault="00DC6A05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  <w:r>
              <w:rPr>
                <w:rFonts w:ascii="楷体" w:eastAsia="楷体" w:hAnsi="楷体" w:cs="楷体" w:hint="eastAsia"/>
                <w:sz w:val="27"/>
                <w:szCs w:val="27"/>
              </w:rPr>
              <w:t>备注</w:t>
            </w:r>
          </w:p>
        </w:tc>
      </w:tr>
      <w:tr w:rsidR="00480904">
        <w:trPr>
          <w:trHeight w:val="327"/>
        </w:trPr>
        <w:tc>
          <w:tcPr>
            <w:tcW w:w="2650" w:type="dxa"/>
            <w:vAlign w:val="center"/>
          </w:tcPr>
          <w:p w:rsidR="00480904" w:rsidRDefault="00480904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762" w:type="dxa"/>
            <w:vAlign w:val="center"/>
          </w:tcPr>
          <w:p w:rsidR="00480904" w:rsidRDefault="00480904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221" w:type="dxa"/>
            <w:vAlign w:val="center"/>
          </w:tcPr>
          <w:p w:rsidR="00480904" w:rsidRDefault="00480904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063" w:type="dxa"/>
            <w:vAlign w:val="center"/>
          </w:tcPr>
          <w:p w:rsidR="00480904" w:rsidRDefault="00480904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2766" w:type="dxa"/>
            <w:vAlign w:val="center"/>
          </w:tcPr>
          <w:p w:rsidR="00480904" w:rsidRDefault="00480904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</w:tr>
      <w:tr w:rsidR="00480904">
        <w:trPr>
          <w:trHeight w:val="327"/>
        </w:trPr>
        <w:tc>
          <w:tcPr>
            <w:tcW w:w="2650" w:type="dxa"/>
            <w:vAlign w:val="center"/>
          </w:tcPr>
          <w:p w:rsidR="00480904" w:rsidRDefault="00480904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762" w:type="dxa"/>
            <w:vAlign w:val="center"/>
          </w:tcPr>
          <w:p w:rsidR="00480904" w:rsidRDefault="00480904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221" w:type="dxa"/>
            <w:vAlign w:val="center"/>
          </w:tcPr>
          <w:p w:rsidR="00480904" w:rsidRDefault="00480904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063" w:type="dxa"/>
            <w:vAlign w:val="center"/>
          </w:tcPr>
          <w:p w:rsidR="00480904" w:rsidRDefault="00480904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2766" w:type="dxa"/>
            <w:vAlign w:val="center"/>
          </w:tcPr>
          <w:p w:rsidR="00480904" w:rsidRDefault="00480904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</w:tr>
      <w:tr w:rsidR="00480904">
        <w:trPr>
          <w:trHeight w:val="327"/>
        </w:trPr>
        <w:tc>
          <w:tcPr>
            <w:tcW w:w="2650" w:type="dxa"/>
            <w:vAlign w:val="center"/>
          </w:tcPr>
          <w:p w:rsidR="00480904" w:rsidRDefault="00480904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762" w:type="dxa"/>
            <w:vAlign w:val="center"/>
          </w:tcPr>
          <w:p w:rsidR="00480904" w:rsidRDefault="00480904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221" w:type="dxa"/>
            <w:vAlign w:val="center"/>
          </w:tcPr>
          <w:p w:rsidR="00480904" w:rsidRDefault="00480904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063" w:type="dxa"/>
            <w:vAlign w:val="center"/>
          </w:tcPr>
          <w:p w:rsidR="00480904" w:rsidRDefault="00480904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2766" w:type="dxa"/>
            <w:vAlign w:val="center"/>
          </w:tcPr>
          <w:p w:rsidR="00480904" w:rsidRDefault="00480904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</w:tr>
      <w:tr w:rsidR="00480904">
        <w:trPr>
          <w:trHeight w:val="313"/>
        </w:trPr>
        <w:tc>
          <w:tcPr>
            <w:tcW w:w="2650" w:type="dxa"/>
            <w:vAlign w:val="center"/>
          </w:tcPr>
          <w:p w:rsidR="00480904" w:rsidRDefault="00480904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762" w:type="dxa"/>
            <w:vAlign w:val="center"/>
          </w:tcPr>
          <w:p w:rsidR="00480904" w:rsidRDefault="00480904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221" w:type="dxa"/>
            <w:vAlign w:val="center"/>
          </w:tcPr>
          <w:p w:rsidR="00480904" w:rsidRDefault="00480904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063" w:type="dxa"/>
            <w:vAlign w:val="center"/>
          </w:tcPr>
          <w:p w:rsidR="00480904" w:rsidRDefault="00480904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2766" w:type="dxa"/>
            <w:vAlign w:val="center"/>
          </w:tcPr>
          <w:p w:rsidR="00480904" w:rsidRDefault="00480904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</w:tr>
      <w:tr w:rsidR="00480904">
        <w:trPr>
          <w:trHeight w:val="341"/>
        </w:trPr>
        <w:tc>
          <w:tcPr>
            <w:tcW w:w="2650" w:type="dxa"/>
            <w:vAlign w:val="center"/>
          </w:tcPr>
          <w:p w:rsidR="00480904" w:rsidRDefault="00480904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762" w:type="dxa"/>
            <w:vAlign w:val="center"/>
          </w:tcPr>
          <w:p w:rsidR="00480904" w:rsidRDefault="00480904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221" w:type="dxa"/>
            <w:vAlign w:val="center"/>
          </w:tcPr>
          <w:p w:rsidR="00480904" w:rsidRDefault="00480904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1063" w:type="dxa"/>
            <w:vAlign w:val="center"/>
          </w:tcPr>
          <w:p w:rsidR="00480904" w:rsidRDefault="00480904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  <w:tc>
          <w:tcPr>
            <w:tcW w:w="2766" w:type="dxa"/>
            <w:vAlign w:val="center"/>
          </w:tcPr>
          <w:p w:rsidR="00480904" w:rsidRDefault="00480904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</w:p>
        </w:tc>
      </w:tr>
      <w:tr w:rsidR="00480904">
        <w:trPr>
          <w:trHeight w:val="424"/>
        </w:trPr>
        <w:tc>
          <w:tcPr>
            <w:tcW w:w="9462" w:type="dxa"/>
            <w:gridSpan w:val="5"/>
            <w:vAlign w:val="center"/>
          </w:tcPr>
          <w:p w:rsidR="00480904" w:rsidRDefault="00DC6A05">
            <w:pPr>
              <w:widowControl/>
              <w:spacing w:line="440" w:lineRule="atLeast"/>
              <w:ind w:firstLine="566"/>
              <w:jc w:val="left"/>
              <w:rPr>
                <w:rFonts w:ascii="楷体" w:eastAsia="楷体" w:hAnsi="楷体" w:cs="楷体"/>
                <w:sz w:val="27"/>
                <w:szCs w:val="27"/>
              </w:rPr>
            </w:pPr>
            <w:r>
              <w:rPr>
                <w:rFonts w:ascii="楷体" w:eastAsia="楷体" w:hAnsi="楷体" w:cs="楷体" w:hint="eastAsia"/>
                <w:sz w:val="27"/>
                <w:szCs w:val="27"/>
              </w:rPr>
              <w:t>报价合计：小写：</w:t>
            </w:r>
            <w:r>
              <w:rPr>
                <w:rFonts w:ascii="楷体" w:eastAsia="楷体" w:hAnsi="楷体" w:cs="楷体" w:hint="eastAsia"/>
                <w:sz w:val="27"/>
                <w:szCs w:val="27"/>
              </w:rPr>
              <w:t xml:space="preserve">                 </w:t>
            </w:r>
            <w:r>
              <w:rPr>
                <w:rFonts w:ascii="楷体" w:eastAsia="楷体" w:hAnsi="楷体" w:cs="楷体" w:hint="eastAsia"/>
                <w:sz w:val="27"/>
                <w:szCs w:val="27"/>
              </w:rPr>
              <w:t>大写：</w:t>
            </w:r>
          </w:p>
        </w:tc>
      </w:tr>
    </w:tbl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注</w:t>
      </w:r>
      <w:r>
        <w:rPr>
          <w:rFonts w:ascii="楷体" w:eastAsia="楷体" w:hAnsi="楷体" w:cs="楷体" w:hint="eastAsia"/>
          <w:sz w:val="27"/>
          <w:szCs w:val="27"/>
        </w:rPr>
        <w:t>:</w:t>
      </w:r>
      <w:r>
        <w:rPr>
          <w:rFonts w:ascii="楷体" w:eastAsia="楷体" w:hAnsi="楷体" w:cs="楷体" w:hint="eastAsia"/>
          <w:sz w:val="27"/>
          <w:szCs w:val="27"/>
        </w:rPr>
        <w:t>所有报价均用人民币表示</w:t>
      </w:r>
      <w:r>
        <w:rPr>
          <w:rFonts w:ascii="楷体" w:eastAsia="楷体" w:hAnsi="楷体" w:cs="楷体" w:hint="eastAsia"/>
          <w:sz w:val="27"/>
          <w:szCs w:val="27"/>
        </w:rPr>
        <w:t>,</w:t>
      </w:r>
      <w:r>
        <w:rPr>
          <w:rFonts w:ascii="楷体" w:eastAsia="楷体" w:hAnsi="楷体" w:cs="楷体" w:hint="eastAsia"/>
          <w:sz w:val="27"/>
          <w:szCs w:val="27"/>
        </w:rPr>
        <w:t>所报价格是竣工验收合格的价格，其总价即为履行合同的固定价格。人员、设备、运输、安装、调试、检验、垃圾清运、税金和保险等费用以及采购文件规定的其他费用均应包含在报价中。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供应商名称（单位公章）：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法定代表人或授权代表（签字）：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日期：</w:t>
      </w:r>
      <w:r>
        <w:rPr>
          <w:rFonts w:ascii="楷体" w:eastAsia="楷体" w:hAnsi="楷体" w:cs="楷体" w:hint="eastAsia"/>
          <w:sz w:val="27"/>
          <w:szCs w:val="27"/>
        </w:rPr>
        <w:t>XXX</w:t>
      </w:r>
      <w:r>
        <w:rPr>
          <w:rFonts w:ascii="楷体" w:eastAsia="楷体" w:hAnsi="楷体" w:cs="楷体" w:hint="eastAsia"/>
          <w:sz w:val="27"/>
          <w:szCs w:val="27"/>
        </w:rPr>
        <w:t>年</w:t>
      </w:r>
      <w:r>
        <w:rPr>
          <w:rFonts w:ascii="楷体" w:eastAsia="楷体" w:hAnsi="楷体" w:cs="楷体" w:hint="eastAsia"/>
          <w:sz w:val="27"/>
          <w:szCs w:val="27"/>
        </w:rPr>
        <w:t>XXX</w:t>
      </w:r>
      <w:r>
        <w:rPr>
          <w:rFonts w:ascii="楷体" w:eastAsia="楷体" w:hAnsi="楷体" w:cs="楷体" w:hint="eastAsia"/>
          <w:sz w:val="27"/>
          <w:szCs w:val="27"/>
        </w:rPr>
        <w:t>月</w:t>
      </w:r>
      <w:r>
        <w:rPr>
          <w:rFonts w:ascii="楷体" w:eastAsia="楷体" w:hAnsi="楷体" w:cs="楷体" w:hint="eastAsia"/>
          <w:sz w:val="27"/>
          <w:szCs w:val="27"/>
        </w:rPr>
        <w:t>XXX</w:t>
      </w:r>
      <w:r>
        <w:rPr>
          <w:rFonts w:ascii="楷体" w:eastAsia="楷体" w:hAnsi="楷体" w:cs="楷体" w:hint="eastAsia"/>
          <w:sz w:val="27"/>
          <w:szCs w:val="27"/>
        </w:rPr>
        <w:t>日</w:t>
      </w:r>
    </w:p>
    <w:p w:rsidR="00480904" w:rsidRDefault="00480904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</w:p>
    <w:p w:rsidR="00480904" w:rsidRDefault="00480904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lastRenderedPageBreak/>
        <w:t>十</w:t>
      </w:r>
      <w:r>
        <w:rPr>
          <w:rFonts w:ascii="楷体" w:eastAsia="楷体" w:hAnsi="楷体" w:cs="楷体" w:hint="eastAsia"/>
          <w:sz w:val="27"/>
          <w:szCs w:val="27"/>
        </w:rPr>
        <w:t>、其他事项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有意愿投标的符合要求的单位可自行来院现场踏勘、洽谈。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上班时间为</w:t>
      </w:r>
      <w:r>
        <w:rPr>
          <w:rFonts w:ascii="楷体" w:eastAsia="楷体" w:hAnsi="楷体" w:cs="楷体" w:hint="eastAsia"/>
          <w:sz w:val="27"/>
          <w:szCs w:val="27"/>
        </w:rPr>
        <w:t>8</w:t>
      </w:r>
      <w:r>
        <w:rPr>
          <w:rFonts w:ascii="楷体" w:eastAsia="楷体" w:hAnsi="楷体" w:cs="楷体" w:hint="eastAsia"/>
          <w:sz w:val="27"/>
          <w:szCs w:val="27"/>
        </w:rPr>
        <w:t>：</w:t>
      </w:r>
      <w:r>
        <w:rPr>
          <w:rFonts w:ascii="楷体" w:eastAsia="楷体" w:hAnsi="楷体" w:cs="楷体" w:hint="eastAsia"/>
          <w:sz w:val="27"/>
          <w:szCs w:val="27"/>
        </w:rPr>
        <w:t>00</w:t>
      </w:r>
      <w:r>
        <w:rPr>
          <w:rFonts w:ascii="楷体" w:eastAsia="楷体" w:hAnsi="楷体" w:cs="楷体" w:hint="eastAsia"/>
          <w:sz w:val="27"/>
          <w:szCs w:val="27"/>
        </w:rPr>
        <w:t>—</w:t>
      </w:r>
      <w:r>
        <w:rPr>
          <w:rFonts w:ascii="楷体" w:eastAsia="楷体" w:hAnsi="楷体" w:cs="楷体" w:hint="eastAsia"/>
          <w:sz w:val="27"/>
          <w:szCs w:val="27"/>
        </w:rPr>
        <w:t>12</w:t>
      </w:r>
      <w:r>
        <w:rPr>
          <w:rFonts w:ascii="楷体" w:eastAsia="楷体" w:hAnsi="楷体" w:cs="楷体" w:hint="eastAsia"/>
          <w:sz w:val="27"/>
          <w:szCs w:val="27"/>
        </w:rPr>
        <w:t>：</w:t>
      </w:r>
      <w:r>
        <w:rPr>
          <w:rFonts w:ascii="楷体" w:eastAsia="楷体" w:hAnsi="楷体" w:cs="楷体" w:hint="eastAsia"/>
          <w:sz w:val="27"/>
          <w:szCs w:val="27"/>
        </w:rPr>
        <w:t>00</w:t>
      </w:r>
      <w:r>
        <w:rPr>
          <w:rFonts w:ascii="楷体" w:eastAsia="楷体" w:hAnsi="楷体" w:cs="楷体" w:hint="eastAsia"/>
          <w:sz w:val="27"/>
          <w:szCs w:val="27"/>
        </w:rPr>
        <w:t>（上午），</w:t>
      </w:r>
      <w:r>
        <w:rPr>
          <w:rFonts w:ascii="楷体" w:eastAsia="楷体" w:hAnsi="楷体" w:cs="楷体" w:hint="eastAsia"/>
          <w:sz w:val="27"/>
          <w:szCs w:val="27"/>
        </w:rPr>
        <w:t>14</w:t>
      </w:r>
      <w:r>
        <w:rPr>
          <w:rFonts w:ascii="楷体" w:eastAsia="楷体" w:hAnsi="楷体" w:cs="楷体" w:hint="eastAsia"/>
          <w:sz w:val="27"/>
          <w:szCs w:val="27"/>
        </w:rPr>
        <w:t>：</w:t>
      </w:r>
      <w:r>
        <w:rPr>
          <w:rFonts w:ascii="楷体" w:eastAsia="楷体" w:hAnsi="楷体" w:cs="楷体" w:hint="eastAsia"/>
          <w:sz w:val="27"/>
          <w:szCs w:val="27"/>
        </w:rPr>
        <w:t>00</w:t>
      </w:r>
      <w:r>
        <w:rPr>
          <w:rFonts w:ascii="楷体" w:eastAsia="楷体" w:hAnsi="楷体" w:cs="楷体" w:hint="eastAsia"/>
          <w:sz w:val="27"/>
          <w:szCs w:val="27"/>
        </w:rPr>
        <w:t>—</w:t>
      </w:r>
      <w:r>
        <w:rPr>
          <w:rFonts w:ascii="楷体" w:eastAsia="楷体" w:hAnsi="楷体" w:cs="楷体" w:hint="eastAsia"/>
          <w:sz w:val="27"/>
          <w:szCs w:val="27"/>
        </w:rPr>
        <w:t>17</w:t>
      </w:r>
      <w:r>
        <w:rPr>
          <w:rFonts w:ascii="楷体" w:eastAsia="楷体" w:hAnsi="楷体" w:cs="楷体" w:hint="eastAsia"/>
          <w:sz w:val="27"/>
          <w:szCs w:val="27"/>
        </w:rPr>
        <w:t>：</w:t>
      </w:r>
      <w:r>
        <w:rPr>
          <w:rFonts w:ascii="楷体" w:eastAsia="楷体" w:hAnsi="楷体" w:cs="楷体" w:hint="eastAsia"/>
          <w:sz w:val="27"/>
          <w:szCs w:val="27"/>
        </w:rPr>
        <w:t>30</w:t>
      </w:r>
      <w:r>
        <w:rPr>
          <w:rFonts w:ascii="楷体" w:eastAsia="楷体" w:hAnsi="楷体" w:cs="楷体" w:hint="eastAsia"/>
          <w:sz w:val="27"/>
          <w:szCs w:val="27"/>
        </w:rPr>
        <w:t>（下午）</w:t>
      </w:r>
    </w:p>
    <w:p w:rsidR="00480904" w:rsidRDefault="00DC6A05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 w:hint="eastAsia"/>
          <w:sz w:val="27"/>
          <w:szCs w:val="27"/>
        </w:rPr>
        <w:t>联系电话</w:t>
      </w:r>
      <w:r>
        <w:rPr>
          <w:rFonts w:ascii="楷体" w:eastAsia="楷体" w:hAnsi="楷体" w:cs="楷体" w:hint="eastAsia"/>
          <w:sz w:val="27"/>
          <w:szCs w:val="27"/>
        </w:rPr>
        <w:t>028-65978223</w:t>
      </w:r>
    </w:p>
    <w:p w:rsidR="00480904" w:rsidRDefault="00480904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</w:p>
    <w:p w:rsidR="00480904" w:rsidRDefault="00480904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</w:p>
    <w:p w:rsidR="00480904" w:rsidRDefault="00480904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</w:p>
    <w:p w:rsidR="00480904" w:rsidRDefault="00480904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</w:p>
    <w:p w:rsidR="00480904" w:rsidRDefault="00480904">
      <w:pPr>
        <w:widowControl/>
        <w:spacing w:line="440" w:lineRule="atLeast"/>
        <w:ind w:firstLine="566"/>
        <w:jc w:val="left"/>
        <w:rPr>
          <w:rFonts w:ascii="楷体" w:eastAsia="楷体" w:hAnsi="楷体" w:cs="楷体"/>
          <w:sz w:val="27"/>
          <w:szCs w:val="27"/>
        </w:rPr>
      </w:pPr>
    </w:p>
    <w:sectPr w:rsidR="00480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877841"/>
    <w:multiLevelType w:val="singleLevel"/>
    <w:tmpl w:val="F9877841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04"/>
    <w:rsid w:val="00480904"/>
    <w:rsid w:val="00DC6A05"/>
    <w:rsid w:val="1D8A5D23"/>
    <w:rsid w:val="2A8E390F"/>
    <w:rsid w:val="409D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pPr>
      <w:spacing w:after="120"/>
    </w:pPr>
    <w:rPr>
      <w:szCs w:val="22"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pPr>
      <w:spacing w:after="120"/>
    </w:pPr>
    <w:rPr>
      <w:szCs w:val="22"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235</Words>
  <Characters>1343</Characters>
  <Application>Microsoft Office Word</Application>
  <DocSecurity>0</DocSecurity>
  <Lines>11</Lines>
  <Paragraphs>3</Paragraphs>
  <ScaleCrop>false</ScaleCrop>
  <Company>四川省妇幼保健院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吴娟</cp:lastModifiedBy>
  <cp:revision>2</cp:revision>
  <dcterms:created xsi:type="dcterms:W3CDTF">2014-10-29T12:08:00Z</dcterms:created>
  <dcterms:modified xsi:type="dcterms:W3CDTF">2022-01-19T00:42:00Z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