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附件1</w:t>
      </w:r>
    </w:p>
    <w:p>
      <w:pPr>
        <w:spacing w:line="360" w:lineRule="auto"/>
        <w:ind w:firstLine="565" w:firstLineChars="202"/>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四川省妇幼保健院</w:t>
      </w:r>
    </w:p>
    <w:p>
      <w:pPr>
        <w:spacing w:line="360" w:lineRule="auto"/>
        <w:ind w:firstLine="565" w:firstLineChars="202"/>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消防设施及系统维护保养服务采购</w:t>
      </w:r>
    </w:p>
    <w:p>
      <w:pPr>
        <w:spacing w:line="360" w:lineRule="auto"/>
        <w:ind w:firstLine="565" w:firstLineChars="202"/>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招标要求</w:t>
      </w:r>
    </w:p>
    <w:p>
      <w:pPr>
        <w:spacing w:line="440" w:lineRule="exact"/>
        <w:ind w:firstLine="568" w:firstLineChars="20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一、项目概况</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1.项目名称：四川省妇幼保健院消防设施及系统维护保养服务</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2.项目范围：四川省妇幼保健院医院本部 、四川省妇幼保健院抚琴院区</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3.项目位置：成都市武侯区沙堰西二街290号、抚琴西路338号</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4.维保期限：本次招标维保期限3年，期满经考核合格，可续签。</w:t>
      </w:r>
    </w:p>
    <w:p>
      <w:pPr>
        <w:spacing w:line="440" w:lineRule="exact"/>
        <w:ind w:firstLine="568" w:firstLineChars="20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二、工作内容范围和要求</w:t>
      </w:r>
    </w:p>
    <w:p>
      <w:pPr>
        <w:spacing w:line="44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（一）工作内容范围</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1.门诊楼（1号楼）建筑面积（17967）平方米，地下2层、地上4层，(消防控制室设在地上1层与住院医技综合楼合用)，（消防水泵房设在地下2层与住院医技综合楼合用），共有13个系统:</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（1）消防联动控制系统（包括应急电源、门禁、消防电梯等联动控制）；</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（2）防火分隔：防火卷帘门、防火门及相关配件；</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（3）气体灭火系统；</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（4）自动喷淋系统（含加压水泵2台）；</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（5）室内外消火栓系统（含加压水泵2台、室外消防车水泵接合器）；</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（6）消防声光报警系统及手报装置；</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（7）消防通讯电话及火灾广播系统；</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（8）应急照明系统；</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（9）应急疏散指示系统。</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（10）防排烟系统；</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（11）火灾探测系统；</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（12）大空间泡沫灭火系统；</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（13）防火漏电自动报警系统。</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2.综合楼（2号楼）建筑面积（3049.2）平方米，地上5层、共有3个系统:</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（1）消火栓系统（消火栓系统供水由屋顶水箱及市政给水提供）;</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（2）应急照明系统；</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（3）应急疏散指示系统。</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3.新生疾病筛查楼（3号楼）建筑面积（1034.1）平方米，地上3层、共有3个系统 :</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（1）消火栓系统（消火栓系统供水由市政给水提供）;</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（2）应急照明系统。</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（3）应急疏散指示系统</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4.产前诊诊断中心楼（4号楼）建筑面积（1960.9）平方米，地上3层、共有2个系统：</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（1）消火栓系统（消火栓系统供水市政给水提供）；</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（2）应急照明系统。</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（3）应急疏散指示系统</w:t>
      </w:r>
    </w:p>
    <w:p>
      <w:pPr>
        <w:spacing w:line="4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5.住院医技综合楼（5号楼）建筑面积（34330）平方米，地下2层、地上13层，共有13个系统:</w:t>
      </w:r>
    </w:p>
    <w:p>
      <w:pPr>
        <w:spacing w:line="4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（1）消防联动控制系统（包括应急电源、门禁、消防电梯等联动控制）；</w:t>
      </w:r>
    </w:p>
    <w:p>
      <w:pPr>
        <w:spacing w:line="4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（2）自动喷淋系统（含增压稳压系统安装于屋顶）；</w:t>
      </w:r>
    </w:p>
    <w:p>
      <w:pPr>
        <w:spacing w:line="4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（3）气体灭火系统；</w:t>
      </w:r>
    </w:p>
    <w:p>
      <w:pPr>
        <w:spacing w:line="4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（4）防火分隔：防火卷帘门、防火门及相关配件；</w:t>
      </w:r>
    </w:p>
    <w:p>
      <w:pPr>
        <w:spacing w:line="4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（5）室内外消火栓系统（含增压稳压系统安装于屋顶、室外消防车水泵接合器）；</w:t>
      </w:r>
    </w:p>
    <w:p>
      <w:pPr>
        <w:spacing w:line="4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（6）消防声光报警系统及手报装置；</w:t>
      </w:r>
    </w:p>
    <w:p>
      <w:pPr>
        <w:spacing w:line="4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（7）消防通讯电话及火灾广播系统；</w:t>
      </w:r>
    </w:p>
    <w:p>
      <w:pPr>
        <w:spacing w:line="4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（8）应急照明系统；</w:t>
      </w:r>
    </w:p>
    <w:p>
      <w:pPr>
        <w:spacing w:line="4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（9）应急疏散指示系统。</w:t>
      </w:r>
    </w:p>
    <w:p>
      <w:pPr>
        <w:spacing w:line="4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（10）防排烟系统；</w:t>
      </w:r>
    </w:p>
    <w:p>
      <w:pPr>
        <w:spacing w:line="4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（11）火灾探测系统；</w:t>
      </w:r>
    </w:p>
    <w:p>
      <w:pPr>
        <w:spacing w:line="4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（12）防火漏电自动报警系统；</w:t>
      </w:r>
    </w:p>
    <w:p>
      <w:pPr>
        <w:spacing w:line="4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（13）可燃气体探测报警系统。</w:t>
      </w:r>
    </w:p>
    <w:p>
      <w:pPr>
        <w:spacing w:line="4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6.抚琴院区业务楼建筑面积（4246）平方米</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（1）消火栓系统（消火栓系统供水市政给水提供）；</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（2）应急照明系统；</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（3）应急疏散指示系统。</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（二）服务具体要求</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1.消防联动控制主机</w:t>
      </w:r>
    </w:p>
    <w:tbl>
      <w:tblPr>
        <w:tblStyle w:val="2"/>
        <w:tblW w:w="8517" w:type="dxa"/>
        <w:tblInd w:w="-106" w:type="dxa"/>
        <w:tblLayout w:type="fixed"/>
        <w:tblCellMar>
          <w:top w:w="0" w:type="dxa"/>
          <w:left w:w="108" w:type="dxa"/>
          <w:bottom w:w="0" w:type="dxa"/>
          <w:right w:w="108" w:type="dxa"/>
        </w:tblCellMar>
      </w:tblPr>
      <w:tblGrid>
        <w:gridCol w:w="721"/>
        <w:gridCol w:w="427"/>
        <w:gridCol w:w="1274"/>
        <w:gridCol w:w="4678"/>
        <w:gridCol w:w="1417"/>
      </w:tblGrid>
      <w:tr>
        <w:tblPrEx>
          <w:tblCellMar>
            <w:top w:w="0" w:type="dxa"/>
            <w:left w:w="108" w:type="dxa"/>
            <w:bottom w:w="0" w:type="dxa"/>
            <w:right w:w="108" w:type="dxa"/>
          </w:tblCellMar>
        </w:tblPrEx>
        <w:trPr>
          <w:trHeight w:val="495"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维保项目</w:t>
            </w:r>
          </w:p>
        </w:tc>
        <w:tc>
          <w:tcPr>
            <w:tcW w:w="42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序号</w:t>
            </w:r>
          </w:p>
        </w:tc>
        <w:tc>
          <w:tcPr>
            <w:tcW w:w="127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维保内容</w:t>
            </w:r>
          </w:p>
        </w:tc>
        <w:tc>
          <w:tcPr>
            <w:tcW w:w="467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检查要点</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维保周期与要求</w:t>
            </w:r>
          </w:p>
        </w:tc>
      </w:tr>
      <w:tr>
        <w:tblPrEx>
          <w:tblCellMar>
            <w:top w:w="0" w:type="dxa"/>
            <w:left w:w="108" w:type="dxa"/>
            <w:bottom w:w="0" w:type="dxa"/>
            <w:right w:w="108" w:type="dxa"/>
          </w:tblCellMar>
        </w:tblPrEx>
        <w:trPr>
          <w:trHeight w:val="405" w:hRule="atLeast"/>
        </w:trPr>
        <w:tc>
          <w:tcPr>
            <w:tcW w:w="72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消防联动控制主机</w:t>
            </w:r>
          </w:p>
        </w:tc>
        <w:tc>
          <w:tcPr>
            <w:tcW w:w="4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7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控制主机外观检查</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查看消防控制主机面板所有模块的铭牌及标识是否明显，清晰</w:t>
            </w:r>
          </w:p>
        </w:tc>
        <w:tc>
          <w:tcPr>
            <w:tcW w:w="1417"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每月全部检查</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1.检查时须有院方代表参与，检查完成后由维保单位与院方代表共同签字确认。</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2.检查结果均需装订形成每月的检查报告。</w:t>
            </w:r>
          </w:p>
        </w:tc>
      </w:tr>
      <w:tr>
        <w:tblPrEx>
          <w:tblCellMar>
            <w:top w:w="0" w:type="dxa"/>
            <w:left w:w="108" w:type="dxa"/>
            <w:bottom w:w="0" w:type="dxa"/>
            <w:right w:w="108" w:type="dxa"/>
          </w:tblCellMar>
        </w:tblPrEx>
        <w:trPr>
          <w:trHeight w:val="555" w:hRule="atLeast"/>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2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查看消防控制主机面板所有模块的标识是否清晰或有无脱落，其仪表、指示灯、开关、控制按钮等是否正常</w:t>
            </w: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75" w:hRule="atLeast"/>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2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使用专业工具对消防控制主机柜体内部进行吹扫，保持机柜内部清洁卫生</w:t>
            </w: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45" w:hRule="atLeast"/>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2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7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控制器的接地</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检查控制器有工作接地线及RE线接地保护</w:t>
            </w: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292" w:hRule="atLeast"/>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2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7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控制器的电源</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控制主机有消防专用电源、并使用专用蓄电池供电；控制主机直连消防电源，严禁使用插头相连</w:t>
            </w: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27" w:hRule="atLeast"/>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2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274"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备用电源自动充</w:t>
            </w:r>
            <w:r>
              <w:rPr>
                <w:rFonts w:hint="eastAsia" w:ascii="仿宋_GB2312" w:hAnsi="仿宋_GB2312" w:eastAsia="仿宋_GB2312" w:cs="仿宋_GB2312"/>
                <w:color w:val="000000"/>
                <w:kern w:val="0"/>
                <w:sz w:val="28"/>
                <w:szCs w:val="28"/>
                <w:lang w:val="en-US" w:eastAsia="zh-CN"/>
              </w:rPr>
              <w:t>电功能</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主电源恢复，备电自动切除，浮充、等待备用</w:t>
            </w: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1554" w:hRule="atLeast"/>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2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274"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应急电源充、放电试验</w:t>
            </w: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85" w:hRule="atLeast"/>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2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127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报警音响</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额定电压下，距器件中心1m处，声压级应在85dB-115dB</w:t>
            </w: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70" w:hRule="atLeast"/>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2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127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气体灭火控制器</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检测气体灭火控制器开关是否处于自动状态下，指示灯所显示的状态是否正常</w:t>
            </w: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90" w:hRule="atLeast"/>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5952"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检查控制主机的以下基本功能是否正常</w:t>
            </w: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90" w:hRule="atLeast"/>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27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a.报警功能</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测试当接到火灾信号时，是否发出声光报警</w:t>
            </w: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90" w:hRule="atLeast"/>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27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b.自检功能</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可自检，ＣＰＵ诊断</w:t>
            </w: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877" w:hRule="atLeast"/>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27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c.火灾优先功能</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检测与故障同时报警时，火警是否优先</w:t>
            </w: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90" w:hRule="atLeast"/>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27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c.记忆功能</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查阅火警时间记录</w:t>
            </w: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90" w:hRule="atLeast"/>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27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e.消音、复位功能</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火警状态时可手动消除信号并复位</w:t>
            </w: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90" w:hRule="atLeast"/>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27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f.电源转换功能</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检测主电源切断，备用电源能否自动投入运行</w:t>
            </w: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90" w:hRule="atLeast"/>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27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g.电源指示功能</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主、备电源转换时，指示灯是否正确</w:t>
            </w: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95" w:hRule="atLeast"/>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2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127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控制主机的打印机</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确认打印机可正常打印，打印纸充足</w:t>
            </w: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95" w:hRule="atLeast"/>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2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127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控制主机的报警信息</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查看消防主机有无故障信息（当有报警信息时在48小时给予修复）</w:t>
            </w: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637" w:hRule="atLeast"/>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2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11</w:t>
            </w:r>
          </w:p>
        </w:tc>
        <w:tc>
          <w:tcPr>
            <w:tcW w:w="127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消防电梯的联动功能</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检测消防电梯的紧急迫降功能</w:t>
            </w: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95" w:hRule="atLeast"/>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2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12</w:t>
            </w:r>
          </w:p>
        </w:tc>
        <w:tc>
          <w:tcPr>
            <w:tcW w:w="127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门禁系</w:t>
            </w:r>
            <w:r>
              <w:rPr>
                <w:rFonts w:hint="eastAsia" w:ascii="仿宋_GB2312" w:hAnsi="仿宋_GB2312" w:eastAsia="仿宋_GB2312" w:cs="仿宋_GB2312"/>
                <w:color w:val="000000"/>
                <w:kern w:val="0"/>
                <w:sz w:val="28"/>
                <w:szCs w:val="28"/>
                <w:lang w:val="en-US" w:eastAsia="zh-CN"/>
              </w:rPr>
              <w:t>统</w:t>
            </w:r>
            <w:r>
              <w:rPr>
                <w:rFonts w:hint="eastAsia" w:ascii="仿宋_GB2312" w:hAnsi="仿宋_GB2312" w:eastAsia="仿宋_GB2312" w:cs="仿宋_GB2312"/>
                <w:color w:val="000000"/>
                <w:kern w:val="0"/>
                <w:sz w:val="28"/>
                <w:szCs w:val="28"/>
              </w:rPr>
              <w:t>消防联动控制</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测试在消防强切状态下，门禁的电磁锁是否失电打开</w:t>
            </w: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60" w:hRule="atLeast"/>
        </w:trPr>
        <w:tc>
          <w:tcPr>
            <w:tcW w:w="7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2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w:t>
            </w:r>
          </w:p>
        </w:tc>
        <w:tc>
          <w:tcPr>
            <w:tcW w:w="127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消防水池液位显示</w:t>
            </w:r>
          </w:p>
        </w:tc>
        <w:tc>
          <w:tcPr>
            <w:tcW w:w="46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记录消防水池液位显示，并实地查看消防水池的液位与显示数位是否一致</w:t>
            </w:r>
          </w:p>
        </w:tc>
        <w:tc>
          <w:tcPr>
            <w:tcW w:w="141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bl>
    <w:p>
      <w:pPr>
        <w:spacing w:line="400" w:lineRule="exact"/>
        <w:ind w:firstLine="700" w:firstLineChars="250"/>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2.自动喷淋系统（含增压稳压系统安装于屋顶）</w:t>
      </w:r>
    </w:p>
    <w:tbl>
      <w:tblPr>
        <w:tblStyle w:val="2"/>
        <w:tblW w:w="8516" w:type="dxa"/>
        <w:tblInd w:w="-106" w:type="dxa"/>
        <w:tblLayout w:type="fixed"/>
        <w:tblCellMar>
          <w:top w:w="0" w:type="dxa"/>
          <w:left w:w="108" w:type="dxa"/>
          <w:bottom w:w="0" w:type="dxa"/>
          <w:right w:w="108" w:type="dxa"/>
        </w:tblCellMar>
      </w:tblPr>
      <w:tblGrid>
        <w:gridCol w:w="1000"/>
        <w:gridCol w:w="520"/>
        <w:gridCol w:w="1840"/>
        <w:gridCol w:w="3739"/>
        <w:gridCol w:w="1417"/>
      </w:tblGrid>
      <w:tr>
        <w:tblPrEx>
          <w:tblCellMar>
            <w:top w:w="0" w:type="dxa"/>
            <w:left w:w="108" w:type="dxa"/>
            <w:bottom w:w="0" w:type="dxa"/>
            <w:right w:w="108" w:type="dxa"/>
          </w:tblCellMar>
        </w:tblPrEx>
        <w:trPr>
          <w:trHeight w:val="555"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维保项目</w:t>
            </w:r>
          </w:p>
        </w:tc>
        <w:tc>
          <w:tcPr>
            <w:tcW w:w="5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序号</w:t>
            </w:r>
          </w:p>
        </w:tc>
        <w:tc>
          <w:tcPr>
            <w:tcW w:w="18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维保内容</w:t>
            </w:r>
          </w:p>
        </w:tc>
        <w:tc>
          <w:tcPr>
            <w:tcW w:w="373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检查要点</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维保周期与要求</w:t>
            </w:r>
          </w:p>
        </w:tc>
      </w:tr>
      <w:tr>
        <w:tblPrEx>
          <w:tblCellMar>
            <w:top w:w="0" w:type="dxa"/>
            <w:left w:w="108" w:type="dxa"/>
            <w:bottom w:w="0" w:type="dxa"/>
            <w:right w:w="108" w:type="dxa"/>
          </w:tblCellMar>
        </w:tblPrEx>
        <w:trPr>
          <w:trHeight w:val="570" w:hRule="atLeast"/>
        </w:trPr>
        <w:tc>
          <w:tcPr>
            <w:tcW w:w="10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自动喷淋系统（含水泵房加压水泵2台，以及5号楼屋顶的增压稳压系统）</w:t>
            </w: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84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系统管网</w:t>
            </w: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观察系统压力参数是否恒定，是否符合工作压力,目测管网外观，有无跑、冒、滴、漏现象</w:t>
            </w:r>
          </w:p>
        </w:tc>
        <w:tc>
          <w:tcPr>
            <w:tcW w:w="1417"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除注明抽查的，其它每月须全部检查</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1.检查时须有院方代表参与，检查完成后由维保单位与院方代表共同签字确认。</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2.检查结果均需装订形成每月的检查报告。</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3.喷淋头按一年完成全覆盖的要求进行区域抽查。</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4.每月的抽查区域与检查结果均需装订形成每月的检查报告。</w:t>
            </w:r>
          </w:p>
        </w:tc>
      </w:tr>
      <w:tr>
        <w:tblPrEx>
          <w:tblCellMar>
            <w:top w:w="0" w:type="dxa"/>
            <w:left w:w="108" w:type="dxa"/>
            <w:bottom w:w="0" w:type="dxa"/>
            <w:right w:w="108" w:type="dxa"/>
          </w:tblCellMar>
        </w:tblPrEx>
        <w:trPr>
          <w:trHeight w:val="4058"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84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末端试水</w:t>
            </w: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每月对喷淋泵进行末端试水测试，记录开始放水到喷淋泵启动的时间；测试水流开关报警和控制中心的各种报警功能</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1014"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5579"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湿式报警阀组</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6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a.外观</w:t>
            </w: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组装正确、完整、无渗漏，配件功能完好</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5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b.供水总控制阀开、关状态</w:t>
            </w: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总控制阀开、关状态灵活可靠、标志明显</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30"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c. 报警阀组功能试验</w:t>
            </w: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在伺应状态，延迟器无出水</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30"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阀启动，5-90s内开始连续报警，压力开关在消控中心报警，信号显示，泵自动启动</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30"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使用数字声级计测量并记录警铃的分贝值</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30"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警铃停，压力开关复位，延迟器自动排水，时间≯5min</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在无实验状态下延时器下端无漏水现象</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003"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动作灵活（当延时器有水流出时能发出铃声）</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测试实施报警阀的排水口，如泵不能正常启动且压力很快下降到0说明可能有控制阀被关</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测试实施报警阀的排水口，如泵不能正常启动且压力很快下降到0说明可能有控制阀被关</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50"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840"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喷淋水泵(一备一用）</w:t>
            </w: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外观检查：检查水泵有无变形、掉漆、有无渗漏</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50"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分别启动测试主、备用水泵运转，确保手动、自动均能正常启动水泵</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50"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每月对阀杆加注润滑油</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在水泵房的控制柜内启动水泵、消防控制室启动水泵，查看能否运行及反馈信号</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50"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检查水泵能否正常运转，流量和压力能否保证；</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50"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检查主、备泵能否自动切换</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50"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启动水泵后、打开试验阀，观察压力保持情况</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50"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每月对喷淋水泵检修、保养一次，添加润滑油</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9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840"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增压稳压系统</w:t>
            </w: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外观检查：检查水泵、罐体有无变形、掉漆</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9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每月对水泵检修、保养一次，添加润滑油</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9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检查控制柜电源是否正常，使用专业工具对消防控制主机柜体内部进行吹扫，保持机柜内部清洁卫生</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9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检查稳压泵是否能够自动加压</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9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检测稳压泵的启动频率，确保启动频率正常</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9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打开试验排水阀，检查减水时能否自动供水、加压装置及供水装置压力表是否显示正常</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9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184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大空间智能喷头</w:t>
            </w: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观察系统压力参数是否恒定，是否符合工作压力,目测管网外观，有无跑、冒、滴、漏现象</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30"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184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喷淋头</w:t>
            </w:r>
          </w:p>
        </w:tc>
        <w:tc>
          <w:tcPr>
            <w:tcW w:w="373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抽查喷淋头外观有无损坏、锈蚀、漏水等现象（喷淋头每月按照一年完成全覆盖的要求进行区域抽查）。</w:t>
            </w:r>
          </w:p>
        </w:tc>
        <w:tc>
          <w:tcPr>
            <w:tcW w:w="141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bl>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3.气体灭火系统</w:t>
      </w:r>
    </w:p>
    <w:tbl>
      <w:tblPr>
        <w:tblStyle w:val="2"/>
        <w:tblW w:w="8519" w:type="dxa"/>
        <w:tblInd w:w="-106" w:type="dxa"/>
        <w:tblLayout w:type="fixed"/>
        <w:tblCellMar>
          <w:top w:w="0" w:type="dxa"/>
          <w:left w:w="108" w:type="dxa"/>
          <w:bottom w:w="0" w:type="dxa"/>
          <w:right w:w="108" w:type="dxa"/>
        </w:tblCellMar>
      </w:tblPr>
      <w:tblGrid>
        <w:gridCol w:w="1000"/>
        <w:gridCol w:w="520"/>
        <w:gridCol w:w="1471"/>
        <w:gridCol w:w="3827"/>
        <w:gridCol w:w="1701"/>
      </w:tblGrid>
      <w:tr>
        <w:tblPrEx>
          <w:tblCellMar>
            <w:top w:w="0" w:type="dxa"/>
            <w:left w:w="108" w:type="dxa"/>
            <w:bottom w:w="0" w:type="dxa"/>
            <w:right w:w="108" w:type="dxa"/>
          </w:tblCellMar>
        </w:tblPrEx>
        <w:trPr>
          <w:trHeight w:val="36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维保项目</w:t>
            </w:r>
          </w:p>
        </w:tc>
        <w:tc>
          <w:tcPr>
            <w:tcW w:w="5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序号</w:t>
            </w:r>
          </w:p>
        </w:tc>
        <w:tc>
          <w:tcPr>
            <w:tcW w:w="147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维保内容</w:t>
            </w:r>
          </w:p>
        </w:tc>
        <w:tc>
          <w:tcPr>
            <w:tcW w:w="382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检查要点</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维保周期与要求</w:t>
            </w:r>
          </w:p>
        </w:tc>
      </w:tr>
      <w:tr>
        <w:tblPrEx>
          <w:tblCellMar>
            <w:top w:w="0" w:type="dxa"/>
            <w:left w:w="108" w:type="dxa"/>
            <w:bottom w:w="0" w:type="dxa"/>
            <w:right w:w="108" w:type="dxa"/>
          </w:tblCellMar>
        </w:tblPrEx>
        <w:trPr>
          <w:trHeight w:val="735" w:hRule="atLeast"/>
        </w:trPr>
        <w:tc>
          <w:tcPr>
            <w:tcW w:w="10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气体灭火系统</w:t>
            </w: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47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探测器</w:t>
            </w:r>
          </w:p>
        </w:tc>
        <w:tc>
          <w:tcPr>
            <w:tcW w:w="3827"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对探测器进行模拟火灾响应试验和故障报警试验。每月测试控制器的性能，核对探测器安装位置和联动关系的准确性。 </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除注明抽查的，其它每月须全部检查</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1.检查时须有院方代表参与，检查完成后由维保单位与院方代表共同签字确认。</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2.检查结果均需装订形成每月的检查报告。</w:t>
            </w:r>
          </w:p>
        </w:tc>
      </w:tr>
      <w:tr>
        <w:tblPrEx>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47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排气体钢瓶</w:t>
            </w:r>
          </w:p>
        </w:tc>
        <w:tc>
          <w:tcPr>
            <w:tcW w:w="3827"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每月检查气体钢瓶的外观、线路连接状况是否正常。</w:t>
            </w: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712"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47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电动阀</w:t>
            </w:r>
          </w:p>
        </w:tc>
        <w:tc>
          <w:tcPr>
            <w:tcW w:w="3827"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每月测试电动阀的启闭性能。</w:t>
            </w: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5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47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灭火存储器</w:t>
            </w:r>
          </w:p>
        </w:tc>
        <w:tc>
          <w:tcPr>
            <w:tcW w:w="3827"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查看灭火存储器压力表，压力是否在正常范围内，检测灭火存储器压力不应小于设计压力的90%。</w:t>
            </w: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bl>
    <w:p>
      <w:pPr>
        <w:spacing w:line="400" w:lineRule="exact"/>
        <w:rPr>
          <w:rFonts w:hint="eastAsia" w:ascii="仿宋_GB2312" w:hAnsi="仿宋_GB2312" w:eastAsia="仿宋_GB2312" w:cs="仿宋_GB2312"/>
          <w:sz w:val="28"/>
          <w:szCs w:val="28"/>
        </w:rPr>
      </w:pPr>
    </w:p>
    <w:p>
      <w:pPr>
        <w:spacing w:line="4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4.防火分隔：防火卷帘门、防火门及相关配件</w:t>
      </w:r>
    </w:p>
    <w:tbl>
      <w:tblPr>
        <w:tblStyle w:val="2"/>
        <w:tblW w:w="8434" w:type="dxa"/>
        <w:tblInd w:w="-106" w:type="dxa"/>
        <w:tblLayout w:type="fixed"/>
        <w:tblCellMar>
          <w:top w:w="0" w:type="dxa"/>
          <w:left w:w="108" w:type="dxa"/>
          <w:bottom w:w="0" w:type="dxa"/>
          <w:right w:w="108" w:type="dxa"/>
        </w:tblCellMar>
      </w:tblPr>
      <w:tblGrid>
        <w:gridCol w:w="849"/>
        <w:gridCol w:w="699"/>
        <w:gridCol w:w="1389"/>
        <w:gridCol w:w="2756"/>
        <w:gridCol w:w="2741"/>
      </w:tblGrid>
      <w:tr>
        <w:tblPrEx>
          <w:tblCellMar>
            <w:top w:w="0" w:type="dxa"/>
            <w:left w:w="108" w:type="dxa"/>
            <w:bottom w:w="0" w:type="dxa"/>
            <w:right w:w="108" w:type="dxa"/>
          </w:tblCellMar>
        </w:tblPrEx>
        <w:trPr>
          <w:trHeight w:val="797" w:hRule="atLeast"/>
        </w:trPr>
        <w:tc>
          <w:tcPr>
            <w:tcW w:w="8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维保项目</w:t>
            </w:r>
          </w:p>
        </w:tc>
        <w:tc>
          <w:tcPr>
            <w:tcW w:w="69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序号</w:t>
            </w:r>
          </w:p>
        </w:tc>
        <w:tc>
          <w:tcPr>
            <w:tcW w:w="138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维保内容</w:t>
            </w:r>
          </w:p>
        </w:tc>
        <w:tc>
          <w:tcPr>
            <w:tcW w:w="275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检查要点</w:t>
            </w:r>
          </w:p>
        </w:tc>
        <w:tc>
          <w:tcPr>
            <w:tcW w:w="2741"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维保周期与要求</w:t>
            </w:r>
          </w:p>
        </w:tc>
      </w:tr>
      <w:tr>
        <w:tblPrEx>
          <w:tblCellMar>
            <w:top w:w="0" w:type="dxa"/>
            <w:left w:w="108" w:type="dxa"/>
            <w:bottom w:w="0" w:type="dxa"/>
            <w:right w:w="108" w:type="dxa"/>
          </w:tblCellMar>
        </w:tblPrEx>
        <w:trPr>
          <w:trHeight w:val="709" w:hRule="atLeast"/>
        </w:trPr>
        <w:tc>
          <w:tcPr>
            <w:tcW w:w="84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防火分隔设施</w:t>
            </w:r>
          </w:p>
        </w:tc>
        <w:tc>
          <w:tcPr>
            <w:tcW w:w="69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4145" w:type="dxa"/>
            <w:gridSpan w:val="2"/>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防火卷帘门（防火卷帘门每月按照一季度完成全覆盖进行区域抽查）</w:t>
            </w:r>
          </w:p>
        </w:tc>
        <w:tc>
          <w:tcPr>
            <w:tcW w:w="2741" w:type="dxa"/>
            <w:vMerge w:val="restart"/>
            <w:tcBorders>
              <w:top w:val="single" w:color="auto" w:sz="4" w:space="0"/>
              <w:left w:val="nil"/>
              <w:right w:val="single" w:color="auto" w:sz="4" w:space="0"/>
            </w:tcBorders>
            <w:noWrap w:val="0"/>
            <w:vAlign w:val="top"/>
          </w:tcPr>
          <w:p>
            <w:pPr>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除注明抽查的，其它每月须全部检查</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1.检查时须有院方代表参与，检查完成后由维保单位与院方代表共同签字确认。</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2.检查结果均需装订形成每月的检查报告。</w:t>
            </w:r>
          </w:p>
          <w:p>
            <w:pPr>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3.防火门及相关配件按一年完成全覆盖的要求进行区域抽查。</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4.每月的抽查区域与检查结果均需装订形成每月的检查报告。</w:t>
            </w:r>
          </w:p>
        </w:tc>
      </w:tr>
      <w:tr>
        <w:tblPrEx>
          <w:tblCellMar>
            <w:top w:w="0" w:type="dxa"/>
            <w:left w:w="108" w:type="dxa"/>
            <w:bottom w:w="0" w:type="dxa"/>
            <w:right w:w="108" w:type="dxa"/>
          </w:tblCellMar>
        </w:tblPrEx>
        <w:trPr>
          <w:trHeight w:val="795" w:hRule="atLeast"/>
        </w:trPr>
        <w:tc>
          <w:tcPr>
            <w:tcW w:w="84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6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38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a.外观质量</w:t>
            </w:r>
          </w:p>
        </w:tc>
        <w:tc>
          <w:tcPr>
            <w:tcW w:w="2756"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查看门外观有无变形、表面有无损坏，清理防火卷帘门表面灰尘</w:t>
            </w:r>
          </w:p>
        </w:tc>
        <w:tc>
          <w:tcPr>
            <w:tcW w:w="2741" w:type="dxa"/>
            <w:vMerge w:val="continue"/>
            <w:tcBorders>
              <w:left w:val="nil"/>
              <w:right w:val="single" w:color="auto" w:sz="4" w:space="0"/>
            </w:tcBorders>
            <w:noWrap w:val="0"/>
            <w:vAlign w:val="top"/>
          </w:tcPr>
          <w:p>
            <w:pP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360" w:hRule="atLeast"/>
        </w:trPr>
        <w:tc>
          <w:tcPr>
            <w:tcW w:w="84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6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389"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b.控制系统</w:t>
            </w:r>
          </w:p>
        </w:tc>
        <w:tc>
          <w:tcPr>
            <w:tcW w:w="2756"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能手动、机械应急和自动控制功能，开、关灵活</w:t>
            </w:r>
          </w:p>
        </w:tc>
        <w:tc>
          <w:tcPr>
            <w:tcW w:w="2741" w:type="dxa"/>
            <w:vMerge w:val="continue"/>
            <w:tcBorders>
              <w:left w:val="nil"/>
              <w:right w:val="single" w:color="auto" w:sz="4" w:space="0"/>
            </w:tcBorders>
            <w:noWrap w:val="0"/>
            <w:vAlign w:val="top"/>
          </w:tcPr>
          <w:p>
            <w:pP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735" w:hRule="atLeast"/>
        </w:trPr>
        <w:tc>
          <w:tcPr>
            <w:tcW w:w="84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6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389" w:type="dxa"/>
            <w:vMerge w:val="restart"/>
            <w:tcBorders>
              <w:top w:val="nil"/>
              <w:left w:val="single" w:color="auto" w:sz="4" w:space="0"/>
              <w:bottom w:val="single" w:color="000000" w:sz="4" w:space="0"/>
              <w:right w:val="single" w:color="auto" w:sz="4" w:space="0"/>
            </w:tcBorders>
            <w:noWrap w:val="0"/>
            <w:vAlign w:val="center"/>
          </w:tcPr>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c.联动情况</w:t>
            </w:r>
          </w:p>
        </w:tc>
        <w:tc>
          <w:tcPr>
            <w:tcW w:w="2756"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确保防火卷帘模块与主机系统能正常联动</w:t>
            </w:r>
          </w:p>
        </w:tc>
        <w:tc>
          <w:tcPr>
            <w:tcW w:w="2741" w:type="dxa"/>
            <w:vMerge w:val="continue"/>
            <w:tcBorders>
              <w:left w:val="nil"/>
              <w:right w:val="single" w:color="auto" w:sz="4" w:space="0"/>
            </w:tcBorders>
            <w:noWrap w:val="0"/>
            <w:vAlign w:val="top"/>
          </w:tcPr>
          <w:p>
            <w:pP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4456" w:hRule="atLeast"/>
        </w:trPr>
        <w:tc>
          <w:tcPr>
            <w:tcW w:w="84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6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38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2756"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分别触发两个相关的火灾探测器，查看该抽查区域卷帘门的联动情况</w:t>
            </w:r>
          </w:p>
        </w:tc>
        <w:tc>
          <w:tcPr>
            <w:tcW w:w="2741" w:type="dxa"/>
            <w:vMerge w:val="continue"/>
            <w:tcBorders>
              <w:left w:val="nil"/>
              <w:right w:val="single" w:color="auto" w:sz="4" w:space="0"/>
            </w:tcBorders>
            <w:noWrap w:val="0"/>
            <w:vAlign w:val="top"/>
          </w:tcPr>
          <w:p>
            <w:pPr>
              <w:widowControl/>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465" w:hRule="atLeast"/>
        </w:trPr>
        <w:tc>
          <w:tcPr>
            <w:tcW w:w="84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699"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389" w:type="dxa"/>
            <w:vMerge w:val="restart"/>
            <w:tcBorders>
              <w:top w:val="nil"/>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防火门及相关配件（防火门每月按一年完成全覆盖的要求进行区域抽查）</w:t>
            </w:r>
          </w:p>
        </w:tc>
        <w:tc>
          <w:tcPr>
            <w:tcW w:w="2756"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查看门外观有无变形、表面有无损坏、门扇的密封性是否符合要求</w:t>
            </w:r>
          </w:p>
        </w:tc>
        <w:tc>
          <w:tcPr>
            <w:tcW w:w="2741" w:type="dxa"/>
            <w:vMerge w:val="continue"/>
            <w:tcBorders>
              <w:left w:val="nil"/>
              <w:right w:val="single" w:color="auto" w:sz="4" w:space="0"/>
            </w:tcBorders>
            <w:noWrap w:val="0"/>
            <w:vAlign w:val="top"/>
          </w:tcPr>
          <w:p>
            <w:pP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555" w:hRule="atLeast"/>
        </w:trPr>
        <w:tc>
          <w:tcPr>
            <w:tcW w:w="84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6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38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275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检查防火门的手把、闭门器、顺序器等是否完好，是否功能正常</w:t>
            </w:r>
          </w:p>
        </w:tc>
        <w:tc>
          <w:tcPr>
            <w:tcW w:w="2741" w:type="dxa"/>
            <w:vMerge w:val="continue"/>
            <w:tcBorders>
              <w:left w:val="nil"/>
              <w:bottom w:val="single" w:color="auto" w:sz="4" w:space="0"/>
              <w:right w:val="single" w:color="auto" w:sz="4" w:space="0"/>
            </w:tcBorders>
            <w:noWrap w:val="0"/>
            <w:vAlign w:val="top"/>
          </w:tcPr>
          <w:p>
            <w:pPr>
              <w:widowControl/>
              <w:jc w:val="left"/>
              <w:rPr>
                <w:rFonts w:hint="eastAsia" w:ascii="仿宋_GB2312" w:hAnsi="仿宋_GB2312" w:eastAsia="仿宋_GB2312" w:cs="仿宋_GB2312"/>
                <w:color w:val="000000"/>
                <w:sz w:val="28"/>
                <w:szCs w:val="28"/>
              </w:rPr>
            </w:pPr>
          </w:p>
        </w:tc>
      </w:tr>
    </w:tbl>
    <w:p>
      <w:pPr>
        <w:spacing w:line="400" w:lineRule="exact"/>
        <w:rPr>
          <w:rFonts w:hint="eastAsia" w:ascii="仿宋_GB2312" w:hAnsi="仿宋_GB2312" w:eastAsia="仿宋_GB2312" w:cs="仿宋_GB2312"/>
          <w:sz w:val="28"/>
          <w:szCs w:val="28"/>
        </w:rPr>
      </w:pPr>
    </w:p>
    <w:p>
      <w:pPr>
        <w:spacing w:line="4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5.室内外消火栓系统（含增压稳压系统安装于屋顶、室外消防车水泵接合器）；</w:t>
      </w:r>
    </w:p>
    <w:tbl>
      <w:tblPr>
        <w:tblStyle w:val="2"/>
        <w:tblW w:w="8519" w:type="dxa"/>
        <w:tblInd w:w="-106" w:type="dxa"/>
        <w:tblLayout w:type="fixed"/>
        <w:tblCellMar>
          <w:top w:w="0" w:type="dxa"/>
          <w:left w:w="108" w:type="dxa"/>
          <w:bottom w:w="0" w:type="dxa"/>
          <w:right w:w="108" w:type="dxa"/>
        </w:tblCellMar>
      </w:tblPr>
      <w:tblGrid>
        <w:gridCol w:w="1000"/>
        <w:gridCol w:w="520"/>
        <w:gridCol w:w="1471"/>
        <w:gridCol w:w="369"/>
        <w:gridCol w:w="3600"/>
        <w:gridCol w:w="1559"/>
      </w:tblGrid>
      <w:tr>
        <w:tblPrEx>
          <w:tblCellMar>
            <w:top w:w="0" w:type="dxa"/>
            <w:left w:w="108" w:type="dxa"/>
            <w:bottom w:w="0" w:type="dxa"/>
            <w:right w:w="108" w:type="dxa"/>
          </w:tblCellMar>
        </w:tblPrEx>
        <w:trPr>
          <w:trHeight w:val="63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维保项目</w:t>
            </w:r>
          </w:p>
        </w:tc>
        <w:tc>
          <w:tcPr>
            <w:tcW w:w="5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序号</w:t>
            </w:r>
          </w:p>
        </w:tc>
        <w:tc>
          <w:tcPr>
            <w:tcW w:w="147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维保内容</w:t>
            </w:r>
          </w:p>
        </w:tc>
        <w:tc>
          <w:tcPr>
            <w:tcW w:w="396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检查要点</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维保周期与要求</w:t>
            </w:r>
          </w:p>
        </w:tc>
      </w:tr>
      <w:tr>
        <w:tblPrEx>
          <w:tblCellMar>
            <w:top w:w="0" w:type="dxa"/>
            <w:left w:w="108" w:type="dxa"/>
            <w:bottom w:w="0" w:type="dxa"/>
            <w:right w:w="108" w:type="dxa"/>
          </w:tblCellMar>
        </w:tblPrEx>
        <w:trPr>
          <w:trHeight w:val="540" w:hRule="atLeast"/>
        </w:trPr>
        <w:tc>
          <w:tcPr>
            <w:tcW w:w="10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室内外消火栓系统（含水泵房加压水泵2台，以及5号楼屋顶的增压稳压系统）</w:t>
            </w: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47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系统管网</w:t>
            </w:r>
          </w:p>
        </w:tc>
        <w:tc>
          <w:tcPr>
            <w:tcW w:w="3969"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观察系统压力参数是否恒定，是否符合工作压力,目测管网外观，有无跑、冒、滴、漏现象</w:t>
            </w:r>
          </w:p>
        </w:tc>
        <w:tc>
          <w:tcPr>
            <w:tcW w:w="155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除注明抽查的，其它每月须全部检查</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1.检查时须有院方代表参与，检查完成后由维保单位与院方代表共同签字确认。</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2.检查结果均需装订形成每月的检查报告。</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3.室内消火栓按半年完成全覆盖的要求进行区域抽查。</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4.室外消火栓每月按照半年完成全覆盖的要求进行出水测试。</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5.每月的抽查区域与检查结果均需装订形成每月的检查报告。</w:t>
            </w:r>
          </w:p>
        </w:tc>
      </w:tr>
      <w:tr>
        <w:tblPrEx>
          <w:tblCellMar>
            <w:top w:w="0" w:type="dxa"/>
            <w:left w:w="108" w:type="dxa"/>
            <w:bottom w:w="0" w:type="dxa"/>
            <w:right w:w="108" w:type="dxa"/>
          </w:tblCellMar>
        </w:tblPrEx>
        <w:trPr>
          <w:trHeight w:val="3351"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471"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消防水泵房配电柜与控制柜</w:t>
            </w:r>
          </w:p>
        </w:tc>
        <w:tc>
          <w:tcPr>
            <w:tcW w:w="3969"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检查配电柜与控制柜的电源是否正常，使用专业工具对消防控制主机柜体内部进行吹扫，保持机柜内部清洁卫生</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检查配电柜与控制柜有无变形、损伤、腐蚀、锈蚀，若有需除锈、刷漆等相应处理</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检查线路图及操作说明是否齐全</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检查电压、电流表指标是否在规定的范围内</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开关是否有变形、损伤、标志脱落，是否处正常状态、控制盘的指示灯是否正常</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检查控制柜内继电器是否脱落、松动、接点是否烧损，转换开关应处于正常状态，各导线链接是否松脱，绝缘是否损伤</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3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查看自动切换启动备用泵情况，同时查看仪表及指示灯是否显示正常</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1503"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471"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消火栓水泵(一备一用）</w:t>
            </w:r>
          </w:p>
        </w:tc>
        <w:tc>
          <w:tcPr>
            <w:tcW w:w="3969"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外观检查：检查水泵有无变形、掉漆、有无渗漏</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分别启动测试主、备用水泵运转，确保手动、自动均能正常启动水泵</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每月对阀杆加注润滑油</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在水泵房的控制柜内启动水泵、消防控制室启动水泵，查看能否运行及反馈信号</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检查水泵能否正常运转，流量和压力能否保证；</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检查主、备泵能否自动切换</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启动水泵后、打开试验阀，观察压力保持情况</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每月对喷淋水泵检修、保养一次，添加润滑油</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471"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增压稳压系统</w:t>
            </w:r>
          </w:p>
        </w:tc>
        <w:tc>
          <w:tcPr>
            <w:tcW w:w="3969"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外观检查：检查水泵、罐体有无变形、掉漆、有无渗漏</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每月对水泵检修、保养一次，添加润滑油</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976"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检查控制柜电源是否正常，使用专业工具对消防控制主机柜体内部进行吹扫，保持机柜内部清洁卫生</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检查稳压泵是否能够自动加压</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检测稳压泵的启动频率，确保启动频率正常</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5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打开试验排水阀，检查减水时能否自动供水、加压装置及供水装置压力表是否显示正常</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0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4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室内消火栓（室内消火栓每月按照半年完成全覆盖的要求进行区域抽查）</w:t>
            </w:r>
          </w:p>
        </w:tc>
        <w:tc>
          <w:tcPr>
            <w:tcW w:w="396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消火栓和消防卷盘供水阀不应有渗漏现象</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0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消火栓门开启时无障碍，关闭时密闭严实</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0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消防水枪、水带、消防卷盘及全部附件齐全良好，卷盘转动灵活</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0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报警按钮、指示类及控制线路功能正常、无故障</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2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消火栓及箱内配装的消防部件的外观无破损、涂层无脱落、箱门玻璃完好无缺</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2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消火栓、供水阀门及消防卷盘等所有转动部位应定期加注润滑油</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每月选择最不利消火栓、连接压力表，开启消火栓、测量并记录栓口静水压力</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147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屋顶消防水箱</w:t>
            </w:r>
          </w:p>
        </w:tc>
        <w:tc>
          <w:tcPr>
            <w:tcW w:w="3969"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外观检查：检查水箱有无变形、掉漆、有无渗漏</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查看水位是否在正常范围及消防用水不被他用</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96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消防水泵启动后，查看水位是否上升</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544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室外消火栓</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a.消火栓启闭杆检查</w:t>
            </w:r>
          </w:p>
        </w:tc>
        <w:tc>
          <w:tcPr>
            <w:tcW w:w="3600"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用专用扳手转动消火栓启闭杆，观察其灵活性，每月对阀杆加注润滑油</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gridSpan w:val="2"/>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b.密封性</w:t>
            </w:r>
          </w:p>
        </w:tc>
        <w:tc>
          <w:tcPr>
            <w:tcW w:w="3600"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检查出水口闷盖是否密封，有无缺损</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3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600"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检查橡胶垫圈等密封件有无损坏、老化或丢失等情况</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c.栓体外观</w:t>
            </w:r>
          </w:p>
        </w:tc>
        <w:tc>
          <w:tcPr>
            <w:tcW w:w="3600"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检查栓体外表有无剥落，有无锈蚀，若有需除锈处理</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d.出水测试</w:t>
            </w:r>
          </w:p>
        </w:tc>
        <w:tc>
          <w:tcPr>
            <w:tcW w:w="3600"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每月按照半年完成全覆盖的要求进行出水测试</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1840" w:type="dxa"/>
            <w:gridSpan w:val="2"/>
            <w:vMerge w:val="restart"/>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室外消防车水泵结合器</w:t>
            </w:r>
          </w:p>
        </w:tc>
        <w:tc>
          <w:tcPr>
            <w:tcW w:w="3600"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检查出水口闷盖是否密封，有无缺损</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600"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检查橡胶垫圈等密封件有无损坏、老化或丢失等情况</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bl>
    <w:p>
      <w:pPr>
        <w:spacing w:line="400" w:lineRule="exact"/>
        <w:rPr>
          <w:rFonts w:hint="eastAsia" w:ascii="仿宋_GB2312" w:hAnsi="仿宋_GB2312" w:eastAsia="仿宋_GB2312" w:cs="仿宋_GB2312"/>
          <w:sz w:val="28"/>
          <w:szCs w:val="28"/>
        </w:rPr>
      </w:pPr>
    </w:p>
    <w:p>
      <w:pPr>
        <w:spacing w:line="4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6.消防声光报警系统及手报装置</w:t>
      </w:r>
    </w:p>
    <w:tbl>
      <w:tblPr>
        <w:tblStyle w:val="2"/>
        <w:tblW w:w="8519" w:type="dxa"/>
        <w:tblInd w:w="-106" w:type="dxa"/>
        <w:tblLayout w:type="fixed"/>
        <w:tblCellMar>
          <w:top w:w="0" w:type="dxa"/>
          <w:left w:w="108" w:type="dxa"/>
          <w:bottom w:w="0" w:type="dxa"/>
          <w:right w:w="108" w:type="dxa"/>
        </w:tblCellMar>
      </w:tblPr>
      <w:tblGrid>
        <w:gridCol w:w="1000"/>
        <w:gridCol w:w="520"/>
        <w:gridCol w:w="1471"/>
        <w:gridCol w:w="3119"/>
        <w:gridCol w:w="2409"/>
      </w:tblGrid>
      <w:tr>
        <w:tblPrEx>
          <w:tblCellMar>
            <w:top w:w="0" w:type="dxa"/>
            <w:left w:w="108" w:type="dxa"/>
            <w:bottom w:w="0" w:type="dxa"/>
            <w:right w:w="108" w:type="dxa"/>
          </w:tblCellMar>
        </w:tblPrEx>
        <w:trPr>
          <w:trHeight w:val="69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维保项目</w:t>
            </w:r>
          </w:p>
        </w:tc>
        <w:tc>
          <w:tcPr>
            <w:tcW w:w="5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序号</w:t>
            </w:r>
          </w:p>
        </w:tc>
        <w:tc>
          <w:tcPr>
            <w:tcW w:w="147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维保内容</w:t>
            </w:r>
          </w:p>
        </w:tc>
        <w:tc>
          <w:tcPr>
            <w:tcW w:w="31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检查要点</w:t>
            </w:r>
          </w:p>
        </w:tc>
        <w:tc>
          <w:tcPr>
            <w:tcW w:w="24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维保周期与要求</w:t>
            </w:r>
          </w:p>
        </w:tc>
      </w:tr>
      <w:tr>
        <w:tblPrEx>
          <w:tblCellMar>
            <w:top w:w="0" w:type="dxa"/>
            <w:left w:w="108" w:type="dxa"/>
            <w:bottom w:w="0" w:type="dxa"/>
            <w:right w:w="108" w:type="dxa"/>
          </w:tblCellMar>
        </w:tblPrEx>
        <w:trPr>
          <w:trHeight w:val="600" w:hRule="atLeast"/>
        </w:trPr>
        <w:tc>
          <w:tcPr>
            <w:tcW w:w="10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消防声光报警系统及手报装置</w:t>
            </w: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471"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声光报警装置（每月按照一年完成全覆盖的要求进行区域抽查）</w:t>
            </w:r>
          </w:p>
        </w:tc>
        <w:tc>
          <w:tcPr>
            <w:tcW w:w="311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检查声光报警装置有无脱落，有损坏</w:t>
            </w:r>
          </w:p>
        </w:tc>
        <w:tc>
          <w:tcPr>
            <w:tcW w:w="240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除注明抽查的，其它每月须全部检查</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1.检查时须有院方代表参与，检查完成后由维保单位与院方代表共同签字确认。</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2.检查结果均需装订形成每月的检查报告。</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3.声光报警装置及手报装置按一年完成全覆盖的要求进行区域抽查。</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4.每月的抽查区域与检查结果均需装订形成每月的检查报告。</w:t>
            </w:r>
          </w:p>
        </w:tc>
      </w:tr>
      <w:tr>
        <w:tblPrEx>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使用数字声级计测量背景噪音的最大声强</w:t>
            </w:r>
          </w:p>
        </w:tc>
        <w:tc>
          <w:tcPr>
            <w:tcW w:w="24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119"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输入控制信号、测量并记录声警报的声强，具有光警报的查看光警报是否正常</w:t>
            </w:r>
          </w:p>
        </w:tc>
        <w:tc>
          <w:tcPr>
            <w:tcW w:w="24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471"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手报装置（每月按照一年完成全覆盖的要求进行区域抽查）</w:t>
            </w:r>
          </w:p>
        </w:tc>
        <w:tc>
          <w:tcPr>
            <w:tcW w:w="311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检查工作状态指示灯正常</w:t>
            </w:r>
          </w:p>
        </w:tc>
        <w:tc>
          <w:tcPr>
            <w:tcW w:w="24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99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11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检查玻璃无损坏，外部接线牢固、无松动(用手扳动设备及安装支架无松动情况，如有损坏及时报修)</w:t>
            </w:r>
          </w:p>
        </w:tc>
        <w:tc>
          <w:tcPr>
            <w:tcW w:w="24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8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119"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触发按钮，查看火灾报警控制器火警信号显示和按钮的报警确认灯</w:t>
            </w:r>
          </w:p>
        </w:tc>
        <w:tc>
          <w:tcPr>
            <w:tcW w:w="24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bl>
    <w:p>
      <w:pPr>
        <w:spacing w:line="400" w:lineRule="exact"/>
        <w:rPr>
          <w:rFonts w:hint="eastAsia" w:ascii="仿宋_GB2312" w:hAnsi="仿宋_GB2312" w:eastAsia="仿宋_GB2312" w:cs="仿宋_GB2312"/>
          <w:sz w:val="28"/>
          <w:szCs w:val="28"/>
        </w:rPr>
      </w:pPr>
    </w:p>
    <w:p>
      <w:pPr>
        <w:spacing w:line="4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7.消防通讯电话及火灾广播系统</w:t>
      </w:r>
    </w:p>
    <w:tbl>
      <w:tblPr>
        <w:tblStyle w:val="2"/>
        <w:tblW w:w="8519" w:type="dxa"/>
        <w:tblInd w:w="-106" w:type="dxa"/>
        <w:tblLayout w:type="fixed"/>
        <w:tblCellMar>
          <w:top w:w="0" w:type="dxa"/>
          <w:left w:w="108" w:type="dxa"/>
          <w:bottom w:w="0" w:type="dxa"/>
          <w:right w:w="108" w:type="dxa"/>
        </w:tblCellMar>
      </w:tblPr>
      <w:tblGrid>
        <w:gridCol w:w="1000"/>
        <w:gridCol w:w="520"/>
        <w:gridCol w:w="1840"/>
        <w:gridCol w:w="2750"/>
        <w:gridCol w:w="2409"/>
      </w:tblGrid>
      <w:tr>
        <w:tblPrEx>
          <w:tblCellMar>
            <w:top w:w="0" w:type="dxa"/>
            <w:left w:w="108" w:type="dxa"/>
            <w:bottom w:w="0" w:type="dxa"/>
            <w:right w:w="108" w:type="dxa"/>
          </w:tblCellMar>
        </w:tblPrEx>
        <w:trPr>
          <w:trHeight w:val="69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维保项目</w:t>
            </w:r>
          </w:p>
        </w:tc>
        <w:tc>
          <w:tcPr>
            <w:tcW w:w="5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序号</w:t>
            </w:r>
          </w:p>
        </w:tc>
        <w:tc>
          <w:tcPr>
            <w:tcW w:w="18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维保内容</w:t>
            </w:r>
          </w:p>
        </w:tc>
        <w:tc>
          <w:tcPr>
            <w:tcW w:w="27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检查要点</w:t>
            </w:r>
          </w:p>
        </w:tc>
        <w:tc>
          <w:tcPr>
            <w:tcW w:w="24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维保周期与要求</w:t>
            </w:r>
          </w:p>
        </w:tc>
      </w:tr>
      <w:tr>
        <w:tblPrEx>
          <w:tblCellMar>
            <w:top w:w="0" w:type="dxa"/>
            <w:left w:w="108" w:type="dxa"/>
            <w:bottom w:w="0" w:type="dxa"/>
            <w:right w:w="108" w:type="dxa"/>
          </w:tblCellMar>
        </w:tblPrEx>
        <w:trPr>
          <w:trHeight w:val="285" w:hRule="atLeast"/>
        </w:trPr>
        <w:tc>
          <w:tcPr>
            <w:tcW w:w="10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消防通讯电话、火灾广播系统、电梯紧急呼叫</w:t>
            </w:r>
          </w:p>
        </w:tc>
        <w:tc>
          <w:tcPr>
            <w:tcW w:w="5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4590"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消防通讯电话</w:t>
            </w:r>
          </w:p>
        </w:tc>
        <w:tc>
          <w:tcPr>
            <w:tcW w:w="2409"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除注明抽查的，其它每月须全部检查</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1.检查时须有院方代表参与，检查完成后由维保单位与院方代表共同签字确认。</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2.检查结果均需装订形成每月的检查报告。</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3.区域广播按一年完成全覆盖的要求进行区域抽查。</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4.每月的抽查区域与检查结果均需装订形成每月的检查报告。</w:t>
            </w:r>
          </w:p>
        </w:tc>
      </w:tr>
      <w:tr>
        <w:tblPrEx>
          <w:tblCellMar>
            <w:top w:w="0" w:type="dxa"/>
            <w:left w:w="108" w:type="dxa"/>
            <w:bottom w:w="0" w:type="dxa"/>
            <w:right w:w="108" w:type="dxa"/>
          </w:tblCellMar>
        </w:tblPrEx>
        <w:trPr>
          <w:trHeight w:val="52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a、控制室与设备间的通话</w:t>
            </w:r>
          </w:p>
        </w:tc>
        <w:tc>
          <w:tcPr>
            <w:tcW w:w="2750"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分别双向测试控制室主机电话与所有分机电话的通话功能正常，语音清楚</w:t>
            </w:r>
          </w:p>
        </w:tc>
        <w:tc>
          <w:tcPr>
            <w:tcW w:w="24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1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b、电话插孔通讯试验</w:t>
            </w:r>
          </w:p>
        </w:tc>
        <w:tc>
          <w:tcPr>
            <w:tcW w:w="2750"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测试手动报警按钮处插孔通话，功能正常，语音清晰（按一年完成全覆盖的要求进行区域抽查）。</w:t>
            </w:r>
          </w:p>
        </w:tc>
        <w:tc>
          <w:tcPr>
            <w:tcW w:w="24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0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4590"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消防广播系统</w:t>
            </w:r>
          </w:p>
        </w:tc>
        <w:tc>
          <w:tcPr>
            <w:tcW w:w="24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a.清洁卫生</w:t>
            </w:r>
          </w:p>
        </w:tc>
        <w:tc>
          <w:tcPr>
            <w:tcW w:w="275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使用专业工具对广播设备机柜体内部进行吹扫，保持机柜内部、设备表面清洁卫生</w:t>
            </w:r>
          </w:p>
        </w:tc>
        <w:tc>
          <w:tcPr>
            <w:tcW w:w="24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b、响试验</w:t>
            </w:r>
          </w:p>
        </w:tc>
        <w:tc>
          <w:tcPr>
            <w:tcW w:w="2750"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距本楼层25米以内,测听音响效果是否清楚                                                                                                                                                                                                                                                                                                                                                                                                                                                                                                                                                                                                                                                                                                                                                                                                                                                                                                                                                       </w:t>
            </w:r>
          </w:p>
        </w:tc>
        <w:tc>
          <w:tcPr>
            <w:tcW w:w="24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c、行切换功能</w:t>
            </w:r>
          </w:p>
        </w:tc>
        <w:tc>
          <w:tcPr>
            <w:tcW w:w="2750"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公共广播与火灾广播合用系统的可在消控室将进行中的一般广播强切换为火灾广播</w:t>
            </w:r>
          </w:p>
        </w:tc>
        <w:tc>
          <w:tcPr>
            <w:tcW w:w="24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3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d、区域广播功能</w:t>
            </w:r>
          </w:p>
        </w:tc>
        <w:tc>
          <w:tcPr>
            <w:tcW w:w="2750"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每月按照一年完成全覆盖的要求进行区域抽查消控室内可选定区域广播</w:t>
            </w:r>
          </w:p>
        </w:tc>
        <w:tc>
          <w:tcPr>
            <w:tcW w:w="24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8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84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电梯紧急呼叫</w:t>
            </w:r>
          </w:p>
        </w:tc>
        <w:tc>
          <w:tcPr>
            <w:tcW w:w="275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测试所有电梯轿厢内的紧急呼叫，确定呼叫功能是否有效，测听通话效果是否清楚</w:t>
            </w:r>
          </w:p>
        </w:tc>
        <w:tc>
          <w:tcPr>
            <w:tcW w:w="24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bl>
    <w:p>
      <w:pPr>
        <w:spacing w:line="400" w:lineRule="exact"/>
        <w:rPr>
          <w:rFonts w:hint="eastAsia" w:ascii="仿宋_GB2312" w:hAnsi="仿宋_GB2312" w:eastAsia="仿宋_GB2312" w:cs="仿宋_GB2312"/>
          <w:sz w:val="28"/>
          <w:szCs w:val="28"/>
        </w:rPr>
      </w:pPr>
    </w:p>
    <w:p>
      <w:pPr>
        <w:spacing w:line="4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8.应急照明系统与应急疏散指示系统</w:t>
      </w:r>
    </w:p>
    <w:tbl>
      <w:tblPr>
        <w:tblStyle w:val="2"/>
        <w:tblW w:w="8519" w:type="dxa"/>
        <w:tblInd w:w="-106" w:type="dxa"/>
        <w:tblLayout w:type="fixed"/>
        <w:tblCellMar>
          <w:top w:w="0" w:type="dxa"/>
          <w:left w:w="108" w:type="dxa"/>
          <w:bottom w:w="0" w:type="dxa"/>
          <w:right w:w="108" w:type="dxa"/>
        </w:tblCellMar>
      </w:tblPr>
      <w:tblGrid>
        <w:gridCol w:w="1000"/>
        <w:gridCol w:w="520"/>
        <w:gridCol w:w="1840"/>
        <w:gridCol w:w="3175"/>
        <w:gridCol w:w="1984"/>
      </w:tblGrid>
      <w:tr>
        <w:tblPrEx>
          <w:tblCellMar>
            <w:top w:w="0" w:type="dxa"/>
            <w:left w:w="108" w:type="dxa"/>
            <w:bottom w:w="0" w:type="dxa"/>
            <w:right w:w="108" w:type="dxa"/>
          </w:tblCellMar>
        </w:tblPrEx>
        <w:trPr>
          <w:trHeight w:val="69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维保项目</w:t>
            </w:r>
          </w:p>
        </w:tc>
        <w:tc>
          <w:tcPr>
            <w:tcW w:w="5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序号</w:t>
            </w:r>
          </w:p>
        </w:tc>
        <w:tc>
          <w:tcPr>
            <w:tcW w:w="18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维保内容</w:t>
            </w:r>
          </w:p>
        </w:tc>
        <w:tc>
          <w:tcPr>
            <w:tcW w:w="31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检查要点</w:t>
            </w:r>
          </w:p>
        </w:tc>
        <w:tc>
          <w:tcPr>
            <w:tcW w:w="19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维保周期与要求</w:t>
            </w:r>
          </w:p>
        </w:tc>
      </w:tr>
      <w:tr>
        <w:tblPrEx>
          <w:tblCellMar>
            <w:top w:w="0" w:type="dxa"/>
            <w:left w:w="108" w:type="dxa"/>
            <w:bottom w:w="0" w:type="dxa"/>
            <w:right w:w="108" w:type="dxa"/>
          </w:tblCellMar>
        </w:tblPrEx>
        <w:trPr>
          <w:trHeight w:val="765" w:hRule="atLeast"/>
        </w:trPr>
        <w:tc>
          <w:tcPr>
            <w:tcW w:w="10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应急照明系统</w:t>
            </w: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84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外观检查</w:t>
            </w:r>
          </w:p>
        </w:tc>
        <w:tc>
          <w:tcPr>
            <w:tcW w:w="3175"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检查应急照明灯具安装是否牢固，没有遮挡,亮度是否正常，灯罩干净无积尘（每月按照一年完成全覆盖的要求进行区域抽查）</w:t>
            </w:r>
          </w:p>
        </w:tc>
        <w:tc>
          <w:tcPr>
            <w:tcW w:w="198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除注明抽查的，其它每月须全部检查</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1.检查时须有院方代表参与，检查完成后由维保单位与院方代表共同签字确认。</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2.检查结果均需装订形成每月的检查报告。</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3.应急照明灯具与疏散指示灯按一年完成全覆盖的要求进行区域抽查。</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4.每月的抽查区域与检查结果均需装订形成每月的检查报告。</w:t>
            </w:r>
          </w:p>
        </w:tc>
      </w:tr>
      <w:tr>
        <w:tblPrEx>
          <w:tblCellMar>
            <w:top w:w="0" w:type="dxa"/>
            <w:left w:w="108" w:type="dxa"/>
            <w:bottom w:w="0" w:type="dxa"/>
            <w:right w:w="108" w:type="dxa"/>
          </w:tblCellMar>
        </w:tblPrEx>
        <w:trPr>
          <w:trHeight w:val="76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84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电源切换试验</w:t>
            </w:r>
          </w:p>
        </w:tc>
        <w:tc>
          <w:tcPr>
            <w:tcW w:w="3175"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切断正常供电电源后，消防应急电源是否自动投入应用，记录应急工作状态的持续时间是否大于等于90分钟</w:t>
            </w:r>
          </w:p>
        </w:tc>
        <w:tc>
          <w:tcPr>
            <w:tcW w:w="19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76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84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应急照明控制柜</w:t>
            </w:r>
          </w:p>
        </w:tc>
        <w:tc>
          <w:tcPr>
            <w:tcW w:w="3175"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检查控制柜电源是否正常，使用专业工具对消防控制主机柜体内部进行吹扫，保持机柜内部清洁卫生</w:t>
            </w:r>
          </w:p>
        </w:tc>
        <w:tc>
          <w:tcPr>
            <w:tcW w:w="19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76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84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应急照明控制柜电池充放电</w:t>
            </w:r>
          </w:p>
        </w:tc>
        <w:tc>
          <w:tcPr>
            <w:tcW w:w="3175"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每两个月对所有应急照明控制柜的电池进行放电保养</w:t>
            </w:r>
          </w:p>
        </w:tc>
        <w:tc>
          <w:tcPr>
            <w:tcW w:w="19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1005" w:hRule="atLeast"/>
        </w:trPr>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应急疏散指示系统</w:t>
            </w: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84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外观检查</w:t>
            </w:r>
          </w:p>
        </w:tc>
        <w:tc>
          <w:tcPr>
            <w:tcW w:w="3175"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检查应急疏散指示灯安装是否牢固、完好，指示方向是否正确，亮度是否正常，没有遮挡，表面干净无积尘（每月按照一年完成全覆盖的要求进行区域抽查）</w:t>
            </w:r>
          </w:p>
        </w:tc>
        <w:tc>
          <w:tcPr>
            <w:tcW w:w="19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bl>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9.防排烟系统</w:t>
      </w:r>
    </w:p>
    <w:tbl>
      <w:tblPr>
        <w:tblStyle w:val="2"/>
        <w:tblW w:w="8519" w:type="dxa"/>
        <w:tblInd w:w="-106" w:type="dxa"/>
        <w:tblLayout w:type="fixed"/>
        <w:tblCellMar>
          <w:top w:w="0" w:type="dxa"/>
          <w:left w:w="108" w:type="dxa"/>
          <w:bottom w:w="0" w:type="dxa"/>
          <w:right w:w="108" w:type="dxa"/>
        </w:tblCellMar>
      </w:tblPr>
      <w:tblGrid>
        <w:gridCol w:w="1000"/>
        <w:gridCol w:w="520"/>
        <w:gridCol w:w="1329"/>
        <w:gridCol w:w="4111"/>
        <w:gridCol w:w="1559"/>
      </w:tblGrid>
      <w:tr>
        <w:tblPrEx>
          <w:tblCellMar>
            <w:top w:w="0" w:type="dxa"/>
            <w:left w:w="108" w:type="dxa"/>
            <w:bottom w:w="0" w:type="dxa"/>
            <w:right w:w="108" w:type="dxa"/>
          </w:tblCellMar>
        </w:tblPrEx>
        <w:trPr>
          <w:trHeight w:val="69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维保项目</w:t>
            </w:r>
          </w:p>
        </w:tc>
        <w:tc>
          <w:tcPr>
            <w:tcW w:w="5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序号</w:t>
            </w:r>
          </w:p>
        </w:tc>
        <w:tc>
          <w:tcPr>
            <w:tcW w:w="132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维保内容</w:t>
            </w:r>
          </w:p>
        </w:tc>
        <w:tc>
          <w:tcPr>
            <w:tcW w:w="41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检查要点</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维保周期与要求</w:t>
            </w:r>
          </w:p>
        </w:tc>
      </w:tr>
      <w:tr>
        <w:tblPrEx>
          <w:tblCellMar>
            <w:top w:w="0" w:type="dxa"/>
            <w:left w:w="108" w:type="dxa"/>
            <w:bottom w:w="0" w:type="dxa"/>
            <w:right w:w="108" w:type="dxa"/>
          </w:tblCellMar>
        </w:tblPrEx>
        <w:trPr>
          <w:trHeight w:val="540" w:hRule="atLeast"/>
        </w:trPr>
        <w:tc>
          <w:tcPr>
            <w:tcW w:w="10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防排烟系统</w:t>
            </w:r>
          </w:p>
        </w:tc>
        <w:tc>
          <w:tcPr>
            <w:tcW w:w="5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32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对排烟阀、排烟防火阀、送风阀的维保</w:t>
            </w:r>
          </w:p>
        </w:tc>
        <w:tc>
          <w:tcPr>
            <w:tcW w:w="4111"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排烟口、送风口有无变形、损伤，周围有无影响使用的障碍物</w:t>
            </w:r>
          </w:p>
        </w:tc>
        <w:tc>
          <w:tcPr>
            <w:tcW w:w="155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除注明抽查的，其它每月须全部检查</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1.检查时须有院方代表参与，检查完成后由维保单位与院方代表共同签字确认。</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2.检查结果均需装订形成每月的检查报告。</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3.每年利用专业工作应对防排烟风机的风量进行测定,并形成报告。</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4.每月的抽查区域与检查结果均需装订形成每月的检查报告。</w:t>
            </w: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3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111"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风管与排烟口连接部位的法兰有无损伤，螺栓是否松动</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3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11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阀件是否完整，易熔片是否脱落，动作是正常</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3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11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旋转机构是否灵活，每半年对机械传送机构加适量润滑剂</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3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11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制动机构、限位器是否符合要求</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3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11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进行手动、远程启闭操作，检查是否可以完全打开</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4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32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对送风、排烟风机的维保</w:t>
            </w:r>
          </w:p>
        </w:tc>
        <w:tc>
          <w:tcPr>
            <w:tcW w:w="411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风机房周围有无可燃物；安装螺栓是否松动、损伤</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3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11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传动机构是否变形、损伤；叶轮是否与外壳接触</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3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11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电动机的接线是否松动；电动机有无腐蚀现象</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3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11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电源供电是否正常（检查电压表或电源指示灯）</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3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11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检查轴承的润滑油状态是否异常（脏污、混入泥沙、尘等）</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3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11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检查传动皮带是否松动、联轴器是否牢固</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3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11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启动电动机、旋转时有无异常振动、杂音</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72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3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11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操作手动或自动启动装置，进行每个防烟分区（或正压送风）的动作试验：手动或自动能否正常启动；运转电流是否正常；运转中是否有不规则杂音及异常振动</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3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3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对风机电柜的维保</w:t>
            </w:r>
          </w:p>
        </w:tc>
        <w:tc>
          <w:tcPr>
            <w:tcW w:w="411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控制柜有无变形、操作、腐蚀</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3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11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线路图及操作说明是否齐全</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3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11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电压、电流表的指针是否在规定的范围内</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3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11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开关是否有变形、损伤、标志脱落，是否处正常状态、控制盘的指示灯是否正常</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3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411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操作开关，检查开关性，检查指示灯显示状态是否正常</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5440"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正压送风阀：检查其送风阀是否完好，能否完成送风功能</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9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5440"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每年利用专业工作应对防排烟风机的风量进行测定，做记录并形成报告</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bl>
    <w:p>
      <w:pPr>
        <w:spacing w:line="400" w:lineRule="exact"/>
        <w:rPr>
          <w:rFonts w:hint="eastAsia" w:ascii="仿宋_GB2312" w:hAnsi="仿宋_GB2312" w:eastAsia="仿宋_GB2312" w:cs="仿宋_GB2312"/>
          <w:sz w:val="28"/>
          <w:szCs w:val="28"/>
        </w:rPr>
      </w:pPr>
    </w:p>
    <w:p>
      <w:pPr>
        <w:spacing w:line="4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10.火灾探测系统</w:t>
      </w:r>
    </w:p>
    <w:tbl>
      <w:tblPr>
        <w:tblStyle w:val="2"/>
        <w:tblW w:w="8519" w:type="dxa"/>
        <w:tblInd w:w="-106" w:type="dxa"/>
        <w:tblLayout w:type="fixed"/>
        <w:tblCellMar>
          <w:top w:w="0" w:type="dxa"/>
          <w:left w:w="108" w:type="dxa"/>
          <w:bottom w:w="0" w:type="dxa"/>
          <w:right w:w="108" w:type="dxa"/>
        </w:tblCellMar>
      </w:tblPr>
      <w:tblGrid>
        <w:gridCol w:w="1000"/>
        <w:gridCol w:w="520"/>
        <w:gridCol w:w="1840"/>
        <w:gridCol w:w="3033"/>
        <w:gridCol w:w="2126"/>
      </w:tblGrid>
      <w:tr>
        <w:tblPrEx>
          <w:tblCellMar>
            <w:top w:w="0" w:type="dxa"/>
            <w:left w:w="108" w:type="dxa"/>
            <w:bottom w:w="0" w:type="dxa"/>
            <w:right w:w="108" w:type="dxa"/>
          </w:tblCellMar>
        </w:tblPrEx>
        <w:trPr>
          <w:trHeight w:val="69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维保项目</w:t>
            </w:r>
          </w:p>
        </w:tc>
        <w:tc>
          <w:tcPr>
            <w:tcW w:w="5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序号</w:t>
            </w:r>
          </w:p>
        </w:tc>
        <w:tc>
          <w:tcPr>
            <w:tcW w:w="18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维保内容</w:t>
            </w:r>
          </w:p>
        </w:tc>
        <w:tc>
          <w:tcPr>
            <w:tcW w:w="303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检查要点</w:t>
            </w:r>
          </w:p>
        </w:tc>
        <w:tc>
          <w:tcPr>
            <w:tcW w:w="212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维保周期与要求</w:t>
            </w:r>
          </w:p>
        </w:tc>
      </w:tr>
      <w:tr>
        <w:tblPrEx>
          <w:tblCellMar>
            <w:top w:w="0" w:type="dxa"/>
            <w:left w:w="108" w:type="dxa"/>
            <w:bottom w:w="0" w:type="dxa"/>
            <w:right w:w="108" w:type="dxa"/>
          </w:tblCellMar>
        </w:tblPrEx>
        <w:trPr>
          <w:trHeight w:val="1335" w:hRule="atLeast"/>
        </w:trPr>
        <w:tc>
          <w:tcPr>
            <w:tcW w:w="10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火灾探测系统</w:t>
            </w: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840"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烟感、温感探测器报警抽查</w:t>
            </w:r>
          </w:p>
        </w:tc>
        <w:tc>
          <w:tcPr>
            <w:tcW w:w="3033"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每月按一年完成全覆盖的要求进行区域抽查烟感、温感探测器测试，确认报警功能检测工作有火情，火警信号输出；短路或脱座，故障信号输出，检查灵敏度、报警阀值</w:t>
            </w:r>
          </w:p>
        </w:tc>
        <w:tc>
          <w:tcPr>
            <w:tcW w:w="2126"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除注明抽查的，其它每月须全部检查</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1.检查时须有院方代表参与，检查完成后由维保单位与院方代表共同签字确认。</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2.检查结果均需装订形成每月的检查报告。</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3.烟感、温感探测器每月按一年完成全覆盖的要求进行区域抽查,并形成报告。</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4.每月的抽查区域与检查结果均需装订形成每月的检查报告。</w:t>
            </w:r>
          </w:p>
        </w:tc>
      </w:tr>
      <w:tr>
        <w:tblPrEx>
          <w:tblCellMar>
            <w:top w:w="0" w:type="dxa"/>
            <w:left w:w="108" w:type="dxa"/>
            <w:bottom w:w="0" w:type="dxa"/>
            <w:right w:w="108" w:type="dxa"/>
          </w:tblCellMar>
        </w:tblPrEx>
        <w:trPr>
          <w:trHeight w:val="99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84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外观质量</w:t>
            </w:r>
          </w:p>
        </w:tc>
        <w:tc>
          <w:tcPr>
            <w:tcW w:w="303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对抽查的区域，检查有无腐蚀及明显机械损伤</w:t>
            </w:r>
          </w:p>
        </w:tc>
        <w:tc>
          <w:tcPr>
            <w:tcW w:w="212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91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840"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检查指示灯的功能</w:t>
            </w:r>
          </w:p>
        </w:tc>
        <w:tc>
          <w:tcPr>
            <w:tcW w:w="3033"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在报警状态时，指示灯灯启动；在巡检状态时，指示灯闪动</w:t>
            </w:r>
          </w:p>
        </w:tc>
        <w:tc>
          <w:tcPr>
            <w:tcW w:w="212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11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840"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烟感探头清洁</w:t>
            </w:r>
          </w:p>
        </w:tc>
        <w:tc>
          <w:tcPr>
            <w:tcW w:w="3033"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对抽查的区域烟感探头进行清洁以保持探头的灵敏</w:t>
            </w:r>
          </w:p>
        </w:tc>
        <w:tc>
          <w:tcPr>
            <w:tcW w:w="212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bl>
    <w:p>
      <w:pPr>
        <w:spacing w:line="400" w:lineRule="exact"/>
        <w:rPr>
          <w:rFonts w:hint="eastAsia" w:ascii="仿宋_GB2312" w:hAnsi="仿宋_GB2312" w:eastAsia="仿宋_GB2312" w:cs="仿宋_GB2312"/>
          <w:sz w:val="28"/>
          <w:szCs w:val="28"/>
        </w:rPr>
      </w:pPr>
    </w:p>
    <w:p>
      <w:pPr>
        <w:spacing w:line="4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11.防火漏电自动报警系统</w:t>
      </w:r>
    </w:p>
    <w:tbl>
      <w:tblPr>
        <w:tblStyle w:val="2"/>
        <w:tblW w:w="8519" w:type="dxa"/>
        <w:tblInd w:w="-106" w:type="dxa"/>
        <w:tblLayout w:type="fixed"/>
        <w:tblCellMar>
          <w:top w:w="0" w:type="dxa"/>
          <w:left w:w="108" w:type="dxa"/>
          <w:bottom w:w="0" w:type="dxa"/>
          <w:right w:w="108" w:type="dxa"/>
        </w:tblCellMar>
      </w:tblPr>
      <w:tblGrid>
        <w:gridCol w:w="1000"/>
        <w:gridCol w:w="520"/>
        <w:gridCol w:w="1840"/>
        <w:gridCol w:w="3033"/>
        <w:gridCol w:w="2126"/>
      </w:tblGrid>
      <w:tr>
        <w:tblPrEx>
          <w:tblCellMar>
            <w:top w:w="0" w:type="dxa"/>
            <w:left w:w="108" w:type="dxa"/>
            <w:bottom w:w="0" w:type="dxa"/>
            <w:right w:w="108" w:type="dxa"/>
          </w:tblCellMar>
        </w:tblPrEx>
        <w:trPr>
          <w:trHeight w:val="117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维保项目</w:t>
            </w:r>
          </w:p>
        </w:tc>
        <w:tc>
          <w:tcPr>
            <w:tcW w:w="5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序号</w:t>
            </w:r>
          </w:p>
        </w:tc>
        <w:tc>
          <w:tcPr>
            <w:tcW w:w="18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维保内容</w:t>
            </w:r>
          </w:p>
        </w:tc>
        <w:tc>
          <w:tcPr>
            <w:tcW w:w="303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检查要点</w:t>
            </w:r>
          </w:p>
        </w:tc>
        <w:tc>
          <w:tcPr>
            <w:tcW w:w="212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维保周期与要求</w:t>
            </w:r>
          </w:p>
        </w:tc>
      </w:tr>
      <w:tr>
        <w:tblPrEx>
          <w:tblCellMar>
            <w:top w:w="0" w:type="dxa"/>
            <w:left w:w="108" w:type="dxa"/>
            <w:bottom w:w="0" w:type="dxa"/>
            <w:right w:w="108" w:type="dxa"/>
          </w:tblCellMar>
        </w:tblPrEx>
        <w:trPr>
          <w:trHeight w:val="855" w:hRule="atLeast"/>
        </w:trPr>
        <w:tc>
          <w:tcPr>
            <w:tcW w:w="10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防火漏电自动报警系统</w:t>
            </w: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84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防火漏电控制柜</w:t>
            </w:r>
          </w:p>
        </w:tc>
        <w:tc>
          <w:tcPr>
            <w:tcW w:w="3033"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检查控制柜的电源是否正常，使用专业工具对消防控制主机柜体内部进行吹扫，保持机柜内部清洁卫生</w:t>
            </w:r>
          </w:p>
        </w:tc>
        <w:tc>
          <w:tcPr>
            <w:tcW w:w="2126"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除注明抽查的，其它每月须全部检查</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1.检查时须有院方代表参与，检查完成后由维保单位与院方代表共同签字确认。</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2.检查结果均需装订形成每月的检查报告。</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3.烟感、温感探测器每月按一年完成全覆盖的要求进行区域抽查,并形成报告。</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4.每月的抽查区域与检查结果均需装订形成每月的检查报告。</w:t>
            </w:r>
          </w:p>
        </w:tc>
      </w:tr>
      <w:tr>
        <w:tblPrEx>
          <w:tblCellMar>
            <w:top w:w="0" w:type="dxa"/>
            <w:left w:w="108" w:type="dxa"/>
            <w:bottom w:w="0" w:type="dxa"/>
            <w:right w:w="108" w:type="dxa"/>
          </w:tblCellMar>
        </w:tblPrEx>
        <w:trPr>
          <w:trHeight w:val="85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84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电源切换试验</w:t>
            </w:r>
          </w:p>
        </w:tc>
        <w:tc>
          <w:tcPr>
            <w:tcW w:w="303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切断正常供电电源后，控制应急电源是否自动投入应用</w:t>
            </w:r>
          </w:p>
        </w:tc>
        <w:tc>
          <w:tcPr>
            <w:tcW w:w="212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85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84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电池放电</w:t>
            </w:r>
          </w:p>
        </w:tc>
        <w:tc>
          <w:tcPr>
            <w:tcW w:w="303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每两个月对控制柜的电池进行放电保养，并做好记录</w:t>
            </w:r>
          </w:p>
        </w:tc>
        <w:tc>
          <w:tcPr>
            <w:tcW w:w="212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85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8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打印机</w:t>
            </w:r>
          </w:p>
        </w:tc>
        <w:tc>
          <w:tcPr>
            <w:tcW w:w="303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检查打印机功能是否正常，打印纸是否足够</w:t>
            </w:r>
          </w:p>
        </w:tc>
        <w:tc>
          <w:tcPr>
            <w:tcW w:w="212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85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8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03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将每月的防火漏电打印记录复印并装订在每月维保报告中</w:t>
            </w:r>
          </w:p>
        </w:tc>
        <w:tc>
          <w:tcPr>
            <w:tcW w:w="212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bl>
    <w:p>
      <w:pPr>
        <w:spacing w:line="400" w:lineRule="exact"/>
        <w:rPr>
          <w:rFonts w:hint="eastAsia" w:ascii="仿宋_GB2312" w:hAnsi="仿宋_GB2312" w:eastAsia="仿宋_GB2312" w:cs="仿宋_GB2312"/>
          <w:sz w:val="28"/>
          <w:szCs w:val="28"/>
        </w:rPr>
      </w:pPr>
    </w:p>
    <w:p>
      <w:pPr>
        <w:spacing w:line="4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12.可燃气体探测报警系统。</w:t>
      </w:r>
    </w:p>
    <w:tbl>
      <w:tblPr>
        <w:tblStyle w:val="2"/>
        <w:tblW w:w="8519" w:type="dxa"/>
        <w:tblInd w:w="-106" w:type="dxa"/>
        <w:tblLayout w:type="fixed"/>
        <w:tblCellMar>
          <w:top w:w="0" w:type="dxa"/>
          <w:left w:w="108" w:type="dxa"/>
          <w:bottom w:w="0" w:type="dxa"/>
          <w:right w:w="108" w:type="dxa"/>
        </w:tblCellMar>
      </w:tblPr>
      <w:tblGrid>
        <w:gridCol w:w="1000"/>
        <w:gridCol w:w="520"/>
        <w:gridCol w:w="1471"/>
        <w:gridCol w:w="3686"/>
        <w:gridCol w:w="1842"/>
      </w:tblGrid>
      <w:tr>
        <w:tblPrEx>
          <w:tblCellMar>
            <w:top w:w="0" w:type="dxa"/>
            <w:left w:w="108" w:type="dxa"/>
            <w:bottom w:w="0" w:type="dxa"/>
            <w:right w:w="108" w:type="dxa"/>
          </w:tblCellMar>
        </w:tblPrEx>
        <w:trPr>
          <w:trHeight w:val="69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维保项目</w:t>
            </w:r>
          </w:p>
        </w:tc>
        <w:tc>
          <w:tcPr>
            <w:tcW w:w="5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序号</w:t>
            </w:r>
          </w:p>
        </w:tc>
        <w:tc>
          <w:tcPr>
            <w:tcW w:w="147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维保内容</w:t>
            </w:r>
          </w:p>
        </w:tc>
        <w:tc>
          <w:tcPr>
            <w:tcW w:w="36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检查要点</w:t>
            </w:r>
          </w:p>
        </w:tc>
        <w:tc>
          <w:tcPr>
            <w:tcW w:w="18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维保周期与要求</w:t>
            </w:r>
          </w:p>
        </w:tc>
      </w:tr>
      <w:tr>
        <w:tblPrEx>
          <w:tblCellMar>
            <w:top w:w="0" w:type="dxa"/>
            <w:left w:w="108" w:type="dxa"/>
            <w:bottom w:w="0" w:type="dxa"/>
            <w:right w:w="108" w:type="dxa"/>
          </w:tblCellMar>
        </w:tblPrEx>
        <w:trPr>
          <w:trHeight w:val="270" w:hRule="atLeast"/>
        </w:trPr>
        <w:tc>
          <w:tcPr>
            <w:tcW w:w="10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可燃气体探测报警系统</w:t>
            </w:r>
          </w:p>
        </w:tc>
        <w:tc>
          <w:tcPr>
            <w:tcW w:w="5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471"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对排烟阀、排烟防火阀、送风阀的维保</w:t>
            </w:r>
          </w:p>
        </w:tc>
        <w:tc>
          <w:tcPr>
            <w:tcW w:w="3686"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排烟口、送风口有无变形、损伤，周围有无影响使用的障碍物</w:t>
            </w:r>
          </w:p>
        </w:tc>
        <w:tc>
          <w:tcPr>
            <w:tcW w:w="1842"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除注明抽查的，其它每月须全部检查</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1.检查时须有院方代表参与，检查完成后由维保单位与院方代表共同签字确认。</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2.检查结果均需装订形成每月的检查报告。</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3.烟感、温感探测器每月按一年完成全覆盖的要求进行区域抽查,并形成报告。</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4.每月的抽查区域与检查结果均需装订形成每月的检查报告。</w:t>
            </w: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686"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风管与排烟口连接部位的法兰有无损伤，螺栓是否松动</w:t>
            </w:r>
          </w:p>
        </w:tc>
        <w:tc>
          <w:tcPr>
            <w:tcW w:w="1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6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68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阀件是否完整，易熔片是否脱落，动作是正常</w:t>
            </w:r>
          </w:p>
        </w:tc>
        <w:tc>
          <w:tcPr>
            <w:tcW w:w="1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68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旋转机构是否灵活，每半年对机械传送机构加适量润滑剂</w:t>
            </w:r>
          </w:p>
        </w:tc>
        <w:tc>
          <w:tcPr>
            <w:tcW w:w="1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68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制动机构、限位器是否符合要求</w:t>
            </w:r>
          </w:p>
        </w:tc>
        <w:tc>
          <w:tcPr>
            <w:tcW w:w="1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68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进行手动、远程启闭操作，检查是否可以完全打开</w:t>
            </w:r>
          </w:p>
        </w:tc>
        <w:tc>
          <w:tcPr>
            <w:tcW w:w="1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471"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对送风、排烟风机的维保</w:t>
            </w:r>
          </w:p>
        </w:tc>
        <w:tc>
          <w:tcPr>
            <w:tcW w:w="368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风机房周围有无可燃物；安装螺栓是否松动、损伤</w:t>
            </w:r>
          </w:p>
        </w:tc>
        <w:tc>
          <w:tcPr>
            <w:tcW w:w="1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68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传动机构是否变形、损伤；叶轮是否与外壳接触</w:t>
            </w:r>
          </w:p>
        </w:tc>
        <w:tc>
          <w:tcPr>
            <w:tcW w:w="1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68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电动机的接线是否松动；电动机有无腐蚀现象</w:t>
            </w:r>
          </w:p>
        </w:tc>
        <w:tc>
          <w:tcPr>
            <w:tcW w:w="1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68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电源供电是否正常（检查电压表或电源指示灯）</w:t>
            </w:r>
          </w:p>
        </w:tc>
        <w:tc>
          <w:tcPr>
            <w:tcW w:w="1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68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检查轴承的润滑油状态是否异常（脏污、混入泥沙、尘等）</w:t>
            </w:r>
          </w:p>
        </w:tc>
        <w:tc>
          <w:tcPr>
            <w:tcW w:w="1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68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检查传动皮带是否松动、联轴器是否牢固</w:t>
            </w:r>
          </w:p>
        </w:tc>
        <w:tc>
          <w:tcPr>
            <w:tcW w:w="1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68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启动电动机、旋转时有无异常振动、杂音</w:t>
            </w:r>
          </w:p>
        </w:tc>
        <w:tc>
          <w:tcPr>
            <w:tcW w:w="1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72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68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操作手动或自动启动装置，进行每个防烟分区（或正压送风）的动作试验：手动或自动能否正常启动；运转电流是否正常；运转中是否有不规则杂音及异常振动</w:t>
            </w:r>
          </w:p>
        </w:tc>
        <w:tc>
          <w:tcPr>
            <w:tcW w:w="1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4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对系统的配电柜与控制柜维保</w:t>
            </w:r>
          </w:p>
        </w:tc>
        <w:tc>
          <w:tcPr>
            <w:tcW w:w="368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配电柜与控制柜有无变形、操作、腐蚀</w:t>
            </w:r>
          </w:p>
        </w:tc>
        <w:tc>
          <w:tcPr>
            <w:tcW w:w="1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68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线路图及操作说明是否齐全</w:t>
            </w:r>
          </w:p>
        </w:tc>
        <w:tc>
          <w:tcPr>
            <w:tcW w:w="1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27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68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电压、电流表的指针是否在规定的范围内</w:t>
            </w:r>
          </w:p>
        </w:tc>
        <w:tc>
          <w:tcPr>
            <w:tcW w:w="1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8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68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开关是否有变形、损伤、标志脱落，是否处正常状态、控制盘的指示灯是否正常</w:t>
            </w:r>
          </w:p>
        </w:tc>
        <w:tc>
          <w:tcPr>
            <w:tcW w:w="1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6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368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操作开关，检查开关性，检查指示灯显示状态是否正常</w:t>
            </w:r>
          </w:p>
        </w:tc>
        <w:tc>
          <w:tcPr>
            <w:tcW w:w="1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40"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5157"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正压送风阀：检查其送风阀是否完好，能否完成送风功能</w:t>
            </w:r>
          </w:p>
        </w:tc>
        <w:tc>
          <w:tcPr>
            <w:tcW w:w="1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405" w:hRule="atLeast"/>
        </w:trPr>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c>
          <w:tcPr>
            <w:tcW w:w="520"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5157"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每年利用专业工作应对防排烟风机的风量进行测定，做记录并形成报告</w:t>
            </w:r>
          </w:p>
        </w:tc>
        <w:tc>
          <w:tcPr>
            <w:tcW w:w="1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8"/>
                <w:szCs w:val="28"/>
              </w:rPr>
            </w:pPr>
          </w:p>
        </w:tc>
      </w:tr>
    </w:tbl>
    <w:p>
      <w:pPr>
        <w:spacing w:line="44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（二）本服务项目通过年度的服务包干报价进行比选，以上各楼宇的系统作为本服务项目的比选依据，包含但不限于上述内容，如有遗漏请自行考虑。</w:t>
      </w:r>
    </w:p>
    <w:p>
      <w:pPr>
        <w:spacing w:line="440" w:lineRule="exact"/>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（三）维保要求</w:t>
      </w:r>
    </w:p>
    <w:p>
      <w:pPr>
        <w:spacing w:line="276" w:lineRule="auto"/>
        <w:ind w:firstLine="618" w:firstLineChars="2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1.按照上述“5.维保内容”所涉及维保内容与要求制作相应检查记录表格，每月向医院汇报消防系统及设施的情况，。</w:t>
      </w:r>
    </w:p>
    <w:p>
      <w:pPr>
        <w:spacing w:line="276" w:lineRule="auto"/>
        <w:ind w:firstLine="618" w:firstLineChars="2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2.维保单位进行维保工作时，须由院方代表共同参与，维保检查结果须院方代表签字确认后，交后勤保障部存档，作为服务付费依据。</w:t>
      </w:r>
    </w:p>
    <w:p>
      <w:pPr>
        <w:spacing w:line="276" w:lineRule="auto"/>
        <w:ind w:firstLine="618" w:firstLineChars="2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3.对日常检查出或院方人员反映的问题及时进行维修处理，接到应急维修两小时赶到现场,及时解决发生的问题。</w:t>
      </w:r>
    </w:p>
    <w:p>
      <w:pPr>
        <w:spacing w:line="276" w:lineRule="auto"/>
        <w:ind w:firstLine="618" w:firstLineChars="2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4.定期检查出的问题立即处理。</w:t>
      </w:r>
    </w:p>
    <w:p>
      <w:pPr>
        <w:spacing w:line="276" w:lineRule="auto"/>
        <w:ind w:firstLine="618" w:firstLineChars="2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5.消防系统维护所需零星耗材单件单价300元以内（含300元）材料由维保方支付，300元以上由院方支付。</w:t>
      </w:r>
    </w:p>
    <w:p>
      <w:pPr>
        <w:spacing w:line="276" w:lineRule="auto"/>
        <w:ind w:firstLine="618" w:firstLineChars="2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6.每年终由维保单位负责联系第三方检测机构对维保范围内的消防系统及设施进行检测。</w:t>
      </w:r>
    </w:p>
    <w:p>
      <w:pPr>
        <w:spacing w:line="276" w:lineRule="auto"/>
        <w:ind w:firstLine="618" w:firstLineChars="2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（四）维保记录及保存</w:t>
      </w:r>
    </w:p>
    <w:p>
      <w:pPr>
        <w:spacing w:line="276" w:lineRule="auto"/>
        <w:ind w:firstLine="618" w:firstLineChars="2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1.编制维修保养记录表，及时记录每次维修保养情况。</w:t>
      </w:r>
    </w:p>
    <w:p>
      <w:pPr>
        <w:spacing w:line="276" w:lineRule="auto"/>
        <w:ind w:firstLine="618" w:firstLineChars="2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2.每月的维修保养结果和记录须院方代表签字确认后，交院方审查，并移交一份复印件。</w:t>
      </w:r>
    </w:p>
    <w:p>
      <w:pPr>
        <w:spacing w:line="276" w:lineRule="auto"/>
        <w:ind w:firstLine="618" w:firstLineChars="2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3.维修保养记录原件由维保单位保存，年终交医院档案室存档，保存期为三年。</w:t>
      </w:r>
    </w:p>
    <w:p>
      <w:pPr>
        <w:tabs>
          <w:tab w:val="left" w:pos="425"/>
          <w:tab w:val="left" w:pos="956"/>
        </w:tabs>
        <w:spacing w:line="276" w:lineRule="auto"/>
        <w:ind w:firstLine="742" w:firstLineChars="26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（五）人员配置</w:t>
      </w:r>
    </w:p>
    <w:p>
      <w:pPr>
        <w:spacing w:line="276" w:lineRule="auto"/>
        <w:ind w:firstLine="618" w:firstLineChars="2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月维保工作应由维保公司派4-6人的团队或小组完成，严禁只派一人走过场式的检查与维护。遇到紧急报修，接院方通知后，两小时内赶到医院处理相关故障。人员专业资质：持有电工证或者机电安装等技能证书(如遇紧急情况，可加派应急人员到场)。</w:t>
      </w:r>
    </w:p>
    <w:p>
      <w:pPr>
        <w:spacing w:line="276" w:lineRule="auto"/>
        <w:ind w:firstLine="618" w:firstLineChars="221"/>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bookmarkStart w:id="0" w:name="_GoBack"/>
      <w:bookmarkEnd w:id="0"/>
    </w:p>
    <w:p>
      <w:pPr>
        <w:spacing w:line="276" w:lineRule="auto"/>
        <w:ind w:firstLine="618" w:firstLineChars="2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评分细则</w:t>
      </w:r>
    </w:p>
    <w:tbl>
      <w:tblPr>
        <w:tblStyle w:val="2"/>
        <w:tblW w:w="841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248"/>
        <w:gridCol w:w="4096"/>
        <w:gridCol w:w="1308"/>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9"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评分因素</w:t>
            </w:r>
          </w:p>
        </w:tc>
        <w:tc>
          <w:tcPr>
            <w:tcW w:w="5344"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评分标准</w:t>
            </w:r>
          </w:p>
        </w:tc>
        <w:tc>
          <w:tcPr>
            <w:tcW w:w="1308" w:type="dxa"/>
            <w:noWrap w:val="0"/>
            <w:vAlign w:val="center"/>
          </w:tcPr>
          <w:p>
            <w:pPr>
              <w:jc w:val="center"/>
              <w:rPr>
                <w:rFonts w:hint="eastAsia" w:ascii="仿宋_GB2312" w:hAnsi="仿宋_GB2312" w:eastAsia="仿宋_GB2312" w:cs="仿宋_GB2312"/>
                <w:sz w:val="28"/>
                <w:szCs w:val="28"/>
              </w:rPr>
            </w:pPr>
          </w:p>
        </w:tc>
        <w:tc>
          <w:tcPr>
            <w:tcW w:w="76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9"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报价（40分）</w:t>
            </w:r>
          </w:p>
        </w:tc>
        <w:tc>
          <w:tcPr>
            <w:tcW w:w="5344" w:type="dxa"/>
            <w:gridSpan w:val="2"/>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满足磋商文件要求且最后报价最低的供应商的价格为磋商基准价，其价格分为满分，其他磋商报价得分=（磋商基准价/最后磋商报价）×权值</w:t>
            </w:r>
          </w:p>
        </w:tc>
        <w:tc>
          <w:tcPr>
            <w:tcW w:w="1308"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根据川财采[2015]33号文，对供应商的失信行为给予10%/次的报价累加加成，用调整后的价格参与评审。</w:t>
            </w:r>
          </w:p>
        </w:tc>
        <w:tc>
          <w:tcPr>
            <w:tcW w:w="765"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99" w:type="dxa"/>
            <w:vMerge w:val="restart"/>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维保方案（18分）</w:t>
            </w:r>
          </w:p>
        </w:tc>
        <w:tc>
          <w:tcPr>
            <w:tcW w:w="1248"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维保方案与技术措施（3分）</w:t>
            </w:r>
          </w:p>
        </w:tc>
        <w:tc>
          <w:tcPr>
            <w:tcW w:w="4096"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对投标人针对本项目的施工方案与技术措施在项目管理、施工质量保证等方面进行综合评比：第一名得3分，第二名得2分，第三名得1分，其余的不得分。没有提供方案的不得分。</w:t>
            </w:r>
          </w:p>
        </w:tc>
        <w:tc>
          <w:tcPr>
            <w:tcW w:w="1308" w:type="dxa"/>
            <w:vMerge w:val="restart"/>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765" w:type="dxa"/>
            <w:vMerge w:val="restart"/>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99" w:type="dxa"/>
            <w:vMerge w:val="continue"/>
            <w:noWrap w:val="0"/>
            <w:vAlign w:val="center"/>
          </w:tcPr>
          <w:p>
            <w:pPr>
              <w:rPr>
                <w:rFonts w:hint="eastAsia" w:ascii="仿宋_GB2312" w:hAnsi="仿宋_GB2312" w:eastAsia="仿宋_GB2312" w:cs="仿宋_GB2312"/>
                <w:sz w:val="28"/>
                <w:szCs w:val="28"/>
              </w:rPr>
            </w:pPr>
          </w:p>
        </w:tc>
        <w:tc>
          <w:tcPr>
            <w:tcW w:w="1248"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质量管理体系与措施（3分）</w:t>
            </w:r>
          </w:p>
        </w:tc>
        <w:tc>
          <w:tcPr>
            <w:tcW w:w="4096"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对投标人针对本项目的质量管理体系与措施在完整性、科学性以及针对性等方面进行综合评比：第一名得3分，第二名得2分，第三名得1分，其余的不得分。没有提供方案的不得分。</w:t>
            </w:r>
          </w:p>
        </w:tc>
        <w:tc>
          <w:tcPr>
            <w:tcW w:w="1308" w:type="dxa"/>
            <w:vMerge w:val="continue"/>
            <w:noWrap w:val="0"/>
            <w:vAlign w:val="center"/>
          </w:tcPr>
          <w:p>
            <w:pPr>
              <w:rPr>
                <w:rFonts w:hint="eastAsia" w:ascii="仿宋_GB2312" w:hAnsi="仿宋_GB2312" w:eastAsia="仿宋_GB2312" w:cs="仿宋_GB2312"/>
                <w:sz w:val="28"/>
                <w:szCs w:val="28"/>
              </w:rPr>
            </w:pPr>
          </w:p>
        </w:tc>
        <w:tc>
          <w:tcPr>
            <w:tcW w:w="765" w:type="dxa"/>
            <w:vMerge w:val="continue"/>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99" w:type="dxa"/>
            <w:vMerge w:val="continue"/>
            <w:noWrap w:val="0"/>
            <w:vAlign w:val="center"/>
          </w:tcPr>
          <w:p>
            <w:pPr>
              <w:rPr>
                <w:rFonts w:hint="eastAsia" w:ascii="仿宋_GB2312" w:hAnsi="仿宋_GB2312" w:eastAsia="仿宋_GB2312" w:cs="仿宋_GB2312"/>
                <w:sz w:val="28"/>
                <w:szCs w:val="28"/>
              </w:rPr>
            </w:pPr>
          </w:p>
        </w:tc>
        <w:tc>
          <w:tcPr>
            <w:tcW w:w="1248"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安全管理体系与措施（3分）</w:t>
            </w:r>
          </w:p>
        </w:tc>
        <w:tc>
          <w:tcPr>
            <w:tcW w:w="4096"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对投标人针对本项目的安全管理体系与措施在全面性、完整性、针对性以及安全教育培训、安全防护等方面进行综合评比：第一名得3分，第二名得2分，第三名得1分，其余的不得分。没有提供方案的不得分。</w:t>
            </w:r>
          </w:p>
        </w:tc>
        <w:tc>
          <w:tcPr>
            <w:tcW w:w="1308" w:type="dxa"/>
            <w:vMerge w:val="continue"/>
            <w:noWrap w:val="0"/>
            <w:vAlign w:val="center"/>
          </w:tcPr>
          <w:p>
            <w:pPr>
              <w:rPr>
                <w:rFonts w:hint="eastAsia" w:ascii="仿宋_GB2312" w:hAnsi="仿宋_GB2312" w:eastAsia="仿宋_GB2312" w:cs="仿宋_GB2312"/>
                <w:sz w:val="28"/>
                <w:szCs w:val="28"/>
              </w:rPr>
            </w:pPr>
          </w:p>
        </w:tc>
        <w:tc>
          <w:tcPr>
            <w:tcW w:w="765" w:type="dxa"/>
            <w:vMerge w:val="continue"/>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999" w:type="dxa"/>
            <w:vMerge w:val="continue"/>
            <w:noWrap w:val="0"/>
            <w:vAlign w:val="center"/>
          </w:tcPr>
          <w:p>
            <w:pPr>
              <w:rPr>
                <w:rFonts w:hint="eastAsia" w:ascii="仿宋_GB2312" w:hAnsi="仿宋_GB2312" w:eastAsia="仿宋_GB2312" w:cs="仿宋_GB2312"/>
                <w:sz w:val="28"/>
                <w:szCs w:val="28"/>
              </w:rPr>
            </w:pPr>
          </w:p>
        </w:tc>
        <w:tc>
          <w:tcPr>
            <w:tcW w:w="1248"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环境保护管理体系与措施（3分）</w:t>
            </w:r>
          </w:p>
        </w:tc>
        <w:tc>
          <w:tcPr>
            <w:tcW w:w="4096"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投标人针对本项目的环境保护管理体系与措施在全面性、完整性、针对性以及污染物处理、污染物排放、技术管理手段等方面进行综合评比：第一名得3分，第二名得2分，第三名得1分，其余的不得分。没有提供方案的不得分。</w:t>
            </w:r>
          </w:p>
        </w:tc>
        <w:tc>
          <w:tcPr>
            <w:tcW w:w="1308" w:type="dxa"/>
            <w:vMerge w:val="continue"/>
            <w:noWrap w:val="0"/>
            <w:vAlign w:val="center"/>
          </w:tcPr>
          <w:p>
            <w:pPr>
              <w:rPr>
                <w:rFonts w:hint="eastAsia" w:ascii="仿宋_GB2312" w:hAnsi="仿宋_GB2312" w:eastAsia="仿宋_GB2312" w:cs="仿宋_GB2312"/>
                <w:sz w:val="28"/>
                <w:szCs w:val="28"/>
              </w:rPr>
            </w:pPr>
          </w:p>
        </w:tc>
        <w:tc>
          <w:tcPr>
            <w:tcW w:w="765" w:type="dxa"/>
            <w:vMerge w:val="continue"/>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999" w:type="dxa"/>
            <w:vMerge w:val="continue"/>
            <w:noWrap w:val="0"/>
            <w:vAlign w:val="center"/>
          </w:tcPr>
          <w:p>
            <w:pPr>
              <w:rPr>
                <w:rFonts w:hint="eastAsia" w:ascii="仿宋_GB2312" w:hAnsi="仿宋_GB2312" w:eastAsia="仿宋_GB2312" w:cs="仿宋_GB2312"/>
                <w:sz w:val="28"/>
                <w:szCs w:val="28"/>
              </w:rPr>
            </w:pPr>
          </w:p>
        </w:tc>
        <w:tc>
          <w:tcPr>
            <w:tcW w:w="1248"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工程进度计划与措施（3分）</w:t>
            </w:r>
          </w:p>
        </w:tc>
        <w:tc>
          <w:tcPr>
            <w:tcW w:w="4096"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对投标人针对本项目的工程进度计划与措施在高效性、合理性、科学性以及工期保障等方面进行综合评比：第一名得3分，第二名得2分，第三名得1分，其余的不得分。没有提供方案的不得分。</w:t>
            </w:r>
          </w:p>
        </w:tc>
        <w:tc>
          <w:tcPr>
            <w:tcW w:w="1308" w:type="dxa"/>
            <w:vMerge w:val="continue"/>
            <w:noWrap w:val="0"/>
            <w:vAlign w:val="center"/>
          </w:tcPr>
          <w:p>
            <w:pPr>
              <w:rPr>
                <w:rFonts w:hint="eastAsia" w:ascii="仿宋_GB2312" w:hAnsi="仿宋_GB2312" w:eastAsia="仿宋_GB2312" w:cs="仿宋_GB2312"/>
                <w:sz w:val="28"/>
                <w:szCs w:val="28"/>
              </w:rPr>
            </w:pPr>
          </w:p>
        </w:tc>
        <w:tc>
          <w:tcPr>
            <w:tcW w:w="765" w:type="dxa"/>
            <w:vMerge w:val="continue"/>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99" w:type="dxa"/>
            <w:vMerge w:val="continue"/>
            <w:noWrap w:val="0"/>
            <w:vAlign w:val="center"/>
          </w:tcPr>
          <w:p>
            <w:pPr>
              <w:rPr>
                <w:rFonts w:hint="eastAsia" w:ascii="仿宋_GB2312" w:hAnsi="仿宋_GB2312" w:eastAsia="仿宋_GB2312" w:cs="仿宋_GB2312"/>
                <w:sz w:val="28"/>
                <w:szCs w:val="28"/>
              </w:rPr>
            </w:pPr>
          </w:p>
        </w:tc>
        <w:tc>
          <w:tcPr>
            <w:tcW w:w="1248"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资源配备计划（3分）</w:t>
            </w:r>
          </w:p>
        </w:tc>
        <w:tc>
          <w:tcPr>
            <w:tcW w:w="4096"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投标人针对本项目的资源配备计划在人员配备及相关设施设备投入的合理性、科学性以及对项目工程进度的保障性等方面进行综合评比：第一名得3分，第二名得2分，第三名得1分，其余的不得分。没有提供方案的不得分。</w:t>
            </w:r>
          </w:p>
        </w:tc>
        <w:tc>
          <w:tcPr>
            <w:tcW w:w="1308" w:type="dxa"/>
            <w:vMerge w:val="continue"/>
            <w:noWrap w:val="0"/>
            <w:vAlign w:val="center"/>
          </w:tcPr>
          <w:p>
            <w:pPr>
              <w:rPr>
                <w:rFonts w:hint="eastAsia" w:ascii="仿宋_GB2312" w:hAnsi="仿宋_GB2312" w:eastAsia="仿宋_GB2312" w:cs="仿宋_GB2312"/>
                <w:sz w:val="28"/>
                <w:szCs w:val="28"/>
              </w:rPr>
            </w:pPr>
          </w:p>
        </w:tc>
        <w:tc>
          <w:tcPr>
            <w:tcW w:w="765" w:type="dxa"/>
            <w:vMerge w:val="continue"/>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trPr>
        <w:tc>
          <w:tcPr>
            <w:tcW w:w="999"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项目管理机构（13分）</w:t>
            </w:r>
          </w:p>
        </w:tc>
        <w:tc>
          <w:tcPr>
            <w:tcW w:w="5344" w:type="dxa"/>
            <w:gridSpan w:val="2"/>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针对拟投入本项目的项目负责人（项目经理），为高级职称，且具有有效的安全生产考核合格证书B类的得4分。（证明材料须提供有效高级职称证书、身份证、安全生产考核B类合格证书以及在投标单位的社保证明复印件，加盖投标单位公章（鲜章））。                                                                  （2）针对拟投入本项目的技术负责人，具有中级技术职称加3分；具有高级技术职称，加5分。本项共5分。（证明材料须提供有效职称证、身份证以及在投标单位的社保证明复印件，加盖投标单位公章（鲜章））</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3）针对拟投入本项目的其他人员（施工员、安全员、材料员、造价员、质量员）全部具有相关部门颁发的证书的，得4分。（须提供相关有效证书、身份证以及在投标单位的社保证明复印件，加盖投标单位公章（鲜章））</w:t>
            </w:r>
          </w:p>
        </w:tc>
        <w:tc>
          <w:tcPr>
            <w:tcW w:w="1308"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765"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3" w:hRule="atLeast"/>
        </w:trPr>
        <w:tc>
          <w:tcPr>
            <w:tcW w:w="999"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业绩（18分）</w:t>
            </w:r>
          </w:p>
        </w:tc>
        <w:tc>
          <w:tcPr>
            <w:tcW w:w="5344" w:type="dxa"/>
            <w:gridSpan w:val="2"/>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（1）2014年1月1日以来每具一个类似项目工程业绩（类似工程：装饰装修工程）的得3分，最多得9分；（业绩证明材料须提供加盖投标单位公章（鲜章）的中标通知书或合同或竣工验收报告复印件）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人拟派入本项目的项目经理2014年1月1日以来每具一个类似项目工程业绩（类似工程：装饰装修工程）的，一个得3分，最多得9分。（须提供加盖投标单位公章（鲜章）中标通知书或合同或竣工验收报告复印件）</w:t>
            </w:r>
          </w:p>
        </w:tc>
        <w:tc>
          <w:tcPr>
            <w:tcW w:w="1308"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提供合同或中标通知书复印件</w:t>
            </w:r>
          </w:p>
        </w:tc>
        <w:tc>
          <w:tcPr>
            <w:tcW w:w="765"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999"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售后服务（8分）</w:t>
            </w:r>
          </w:p>
        </w:tc>
        <w:tc>
          <w:tcPr>
            <w:tcW w:w="5344" w:type="dxa"/>
            <w:gridSpan w:val="2"/>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完善的售后服务方案(内容包括供应商提供免费售后服务电话,响应时间、现场服务支持能力、售后巡检、质量保证期限及范围,本地化服务情况等)对项目售后服务内容的合理性、全面性进行综合横向比较评分第一名得8分,第二名得6分,第三名得3分,第四名得1分其余不得分.</w:t>
            </w:r>
          </w:p>
        </w:tc>
        <w:tc>
          <w:tcPr>
            <w:tcW w:w="1308"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提供相关证明材料（涵盖营业执照复印件）</w:t>
            </w:r>
          </w:p>
        </w:tc>
        <w:tc>
          <w:tcPr>
            <w:tcW w:w="765"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8" w:hRule="atLeast"/>
        </w:trPr>
        <w:tc>
          <w:tcPr>
            <w:tcW w:w="999"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节能、环境标志、无线局域网产品（2分）</w:t>
            </w:r>
          </w:p>
        </w:tc>
        <w:tc>
          <w:tcPr>
            <w:tcW w:w="5344" w:type="dxa"/>
            <w:gridSpan w:val="2"/>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供应商响应产品中每有一项为节能产品或者环境标志产品或者无线局域网产品政府采购清单中的产品的得0.5分，非政府采购节能、环境标志产品的、无线局域网产品的不得分。本项最多得2分。</w:t>
            </w:r>
          </w:p>
        </w:tc>
        <w:tc>
          <w:tcPr>
            <w:tcW w:w="1308"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提供产品对应的清单复印件，以《中国政府采购网》最新颁布清单为准。</w:t>
            </w:r>
          </w:p>
        </w:tc>
        <w:tc>
          <w:tcPr>
            <w:tcW w:w="765"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政策合同类评分因素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9"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磋商文件的规范性（1分）</w:t>
            </w:r>
          </w:p>
        </w:tc>
        <w:tc>
          <w:tcPr>
            <w:tcW w:w="5344" w:type="dxa"/>
            <w:gridSpan w:val="2"/>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磋商文件制作规范，没有细微偏差情形的得1分；有一项细微偏差扣0.5分，直至该分项值扣完为止。</w:t>
            </w:r>
          </w:p>
        </w:tc>
        <w:tc>
          <w:tcPr>
            <w:tcW w:w="1308"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765"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共同评分因素</w:t>
            </w:r>
          </w:p>
        </w:tc>
      </w:tr>
    </w:tbl>
    <w:p>
      <w:pPr>
        <w:spacing w:line="276" w:lineRule="auto"/>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p>
      <w:pPr>
        <w:spacing w:line="240" w:lineRule="atLeast"/>
        <w:jc w:val="center"/>
        <w:rPr>
          <w:rFonts w:hint="eastAsia" w:ascii="仿宋_GB2312" w:hAnsi="仿宋_GB2312" w:eastAsia="仿宋_GB2312" w:cs="仿宋_GB2312"/>
          <w:bCs/>
          <w:sz w:val="28"/>
          <w:szCs w:val="28"/>
        </w:rPr>
      </w:pPr>
    </w:p>
    <w:p>
      <w:pPr>
        <w:spacing w:line="240" w:lineRule="atLeas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采购文件书装订顺序</w:t>
      </w:r>
    </w:p>
    <w:p>
      <w:pPr>
        <w:spacing w:line="240" w:lineRule="atLeast"/>
        <w:ind w:firstLine="592" w:firstLineChars="200"/>
        <w:rPr>
          <w:rFonts w:hint="eastAsia" w:ascii="仿宋_GB2312" w:hAnsi="仿宋_GB2312" w:eastAsia="仿宋_GB2312" w:cs="仿宋_GB2312"/>
          <w:bCs/>
          <w:color w:val="000000"/>
          <w:spacing w:val="8"/>
          <w:sz w:val="28"/>
          <w:szCs w:val="28"/>
        </w:rPr>
      </w:pPr>
      <w:r>
        <w:rPr>
          <w:rFonts w:hint="eastAsia" w:ascii="仿宋_GB2312" w:hAnsi="仿宋_GB2312" w:eastAsia="仿宋_GB2312" w:cs="仿宋_GB2312"/>
          <w:bCs/>
          <w:color w:val="000000"/>
          <w:spacing w:val="8"/>
          <w:sz w:val="28"/>
          <w:szCs w:val="28"/>
        </w:rPr>
        <w:t>1、封面（公司、项目、联系人、联系方式）</w:t>
      </w:r>
    </w:p>
    <w:p>
      <w:pPr>
        <w:spacing w:line="240" w:lineRule="atLeast"/>
        <w:ind w:firstLine="592" w:firstLineChars="200"/>
        <w:rPr>
          <w:rFonts w:hint="eastAsia" w:ascii="仿宋_GB2312" w:hAnsi="仿宋_GB2312" w:eastAsia="仿宋_GB2312" w:cs="仿宋_GB2312"/>
          <w:bCs/>
          <w:color w:val="000000"/>
          <w:spacing w:val="8"/>
          <w:sz w:val="28"/>
          <w:szCs w:val="28"/>
        </w:rPr>
      </w:pPr>
      <w:r>
        <w:rPr>
          <w:rFonts w:hint="eastAsia" w:ascii="仿宋_GB2312" w:hAnsi="仿宋_GB2312" w:eastAsia="仿宋_GB2312" w:cs="仿宋_GB2312"/>
          <w:bCs/>
          <w:color w:val="000000"/>
          <w:spacing w:val="8"/>
          <w:sz w:val="28"/>
          <w:szCs w:val="28"/>
        </w:rPr>
        <w:t>2、目录</w:t>
      </w:r>
    </w:p>
    <w:p>
      <w:pPr>
        <w:adjustRightInd w:val="0"/>
        <w:spacing w:line="400" w:lineRule="exact"/>
        <w:ind w:firstLine="592" w:firstLineChars="200"/>
        <w:rPr>
          <w:rFonts w:hint="eastAsia" w:ascii="仿宋_GB2312" w:hAnsi="仿宋_GB2312" w:eastAsia="仿宋_GB2312" w:cs="仿宋_GB2312"/>
          <w:b/>
          <w:sz w:val="28"/>
          <w:szCs w:val="28"/>
        </w:rPr>
      </w:pPr>
      <w:r>
        <w:rPr>
          <w:rFonts w:hint="eastAsia" w:ascii="仿宋_GB2312" w:hAnsi="仿宋_GB2312" w:eastAsia="仿宋_GB2312" w:cs="仿宋_GB2312"/>
          <w:bCs/>
          <w:spacing w:val="8"/>
          <w:sz w:val="28"/>
          <w:szCs w:val="28"/>
        </w:rPr>
        <w:t>3、</w:t>
      </w:r>
      <w:r>
        <w:rPr>
          <w:rFonts w:hint="eastAsia" w:ascii="仿宋_GB2312" w:hAnsi="仿宋_GB2312" w:eastAsia="仿宋_GB2312" w:cs="仿宋_GB2312"/>
          <w:sz w:val="28"/>
          <w:szCs w:val="28"/>
        </w:rPr>
        <w:t>报价一览表</w:t>
      </w:r>
      <w:r>
        <w:rPr>
          <w:rFonts w:hint="eastAsia" w:ascii="仿宋_GB2312" w:hAnsi="仿宋_GB2312" w:eastAsia="仿宋_GB2312" w:cs="仿宋_GB2312"/>
          <w:bCs/>
          <w:spacing w:val="8"/>
          <w:sz w:val="28"/>
          <w:szCs w:val="28"/>
        </w:rPr>
        <w:t>（格式见附件1）</w:t>
      </w:r>
    </w:p>
    <w:p>
      <w:pPr>
        <w:spacing w:line="240" w:lineRule="atLeast"/>
        <w:ind w:firstLine="592" w:firstLineChars="200"/>
        <w:rPr>
          <w:rFonts w:hint="eastAsia" w:ascii="仿宋_GB2312" w:hAnsi="仿宋_GB2312" w:eastAsia="仿宋_GB2312" w:cs="仿宋_GB2312"/>
          <w:bCs/>
          <w:color w:val="C00000"/>
          <w:spacing w:val="8"/>
          <w:sz w:val="28"/>
          <w:szCs w:val="28"/>
        </w:rPr>
      </w:pPr>
      <w:r>
        <w:rPr>
          <w:rFonts w:hint="eastAsia" w:ascii="仿宋_GB2312" w:hAnsi="仿宋_GB2312" w:eastAsia="仿宋_GB2312" w:cs="仿宋_GB2312"/>
          <w:bCs/>
          <w:color w:val="C00000"/>
          <w:spacing w:val="8"/>
          <w:sz w:val="28"/>
          <w:szCs w:val="28"/>
        </w:rPr>
        <w:t>4、企业营业执照</w:t>
      </w:r>
      <w:r>
        <w:rPr>
          <w:rFonts w:hint="eastAsia" w:ascii="仿宋_GB2312" w:hAnsi="仿宋_GB2312" w:eastAsia="仿宋_GB2312" w:cs="仿宋_GB2312"/>
          <w:bCs/>
          <w:color w:val="C00000"/>
          <w:spacing w:val="8"/>
          <w:sz w:val="28"/>
          <w:szCs w:val="28"/>
          <w:lang w:eastAsia="zh-CN"/>
        </w:rPr>
        <w:t>、</w:t>
      </w:r>
      <w:r>
        <w:rPr>
          <w:rFonts w:hint="eastAsia" w:ascii="仿宋_GB2312" w:hAnsi="仿宋_GB2312" w:eastAsia="仿宋_GB2312" w:cs="仿宋_GB2312"/>
          <w:color w:val="C00000"/>
          <w:sz w:val="28"/>
          <w:szCs w:val="28"/>
        </w:rPr>
        <w:t>组织机构代码证、税务登记证</w:t>
      </w:r>
      <w:r>
        <w:rPr>
          <w:rFonts w:hint="eastAsia" w:ascii="仿宋_GB2312" w:hAnsi="仿宋_GB2312" w:eastAsia="仿宋_GB2312" w:cs="仿宋_GB2312"/>
          <w:color w:val="C00000"/>
          <w:sz w:val="28"/>
          <w:szCs w:val="28"/>
          <w:lang w:eastAsia="zh-CN"/>
        </w:rPr>
        <w:t>（或三证合一）</w:t>
      </w:r>
      <w:r>
        <w:rPr>
          <w:rFonts w:hint="eastAsia" w:ascii="仿宋_GB2312" w:hAnsi="仿宋_GB2312" w:eastAsia="仿宋_GB2312" w:cs="仿宋_GB2312"/>
          <w:bCs/>
          <w:color w:val="C00000"/>
          <w:spacing w:val="8"/>
          <w:sz w:val="28"/>
          <w:szCs w:val="28"/>
        </w:rPr>
        <w:t>（复印件）</w:t>
      </w:r>
    </w:p>
    <w:p>
      <w:pPr>
        <w:spacing w:line="240" w:lineRule="atLeast"/>
        <w:ind w:firstLine="592" w:firstLineChars="200"/>
        <w:rPr>
          <w:rFonts w:hint="eastAsia" w:ascii="仿宋_GB2312" w:hAnsi="仿宋_GB2312" w:eastAsia="仿宋_GB2312" w:cs="仿宋_GB2312"/>
          <w:color w:val="C00000"/>
          <w:sz w:val="28"/>
          <w:szCs w:val="28"/>
        </w:rPr>
      </w:pPr>
      <w:r>
        <w:rPr>
          <w:rFonts w:hint="eastAsia" w:ascii="仿宋_GB2312" w:hAnsi="仿宋_GB2312" w:eastAsia="仿宋_GB2312" w:cs="仿宋_GB2312"/>
          <w:bCs/>
          <w:color w:val="C00000"/>
          <w:spacing w:val="8"/>
          <w:sz w:val="28"/>
          <w:szCs w:val="28"/>
        </w:rPr>
        <w:t>5、</w:t>
      </w:r>
      <w:r>
        <w:rPr>
          <w:rFonts w:hint="eastAsia" w:ascii="仿宋_GB2312" w:hAnsi="仿宋_GB2312" w:eastAsia="仿宋_GB2312" w:cs="仿宋_GB2312"/>
          <w:i w:val="0"/>
          <w:caps w:val="0"/>
          <w:color w:val="555555"/>
          <w:spacing w:val="0"/>
          <w:sz w:val="28"/>
          <w:szCs w:val="28"/>
          <w:shd w:val="clear" w:color="auto" w:fill="FFFFFF"/>
        </w:rPr>
        <w:t>消防设施维护保养检测机构资质三级以上</w:t>
      </w:r>
      <w:r>
        <w:rPr>
          <w:rFonts w:hint="eastAsia" w:ascii="仿宋_GB2312" w:hAnsi="仿宋_GB2312" w:eastAsia="仿宋_GB2312" w:cs="仿宋_GB2312"/>
          <w:i w:val="0"/>
          <w:caps w:val="0"/>
          <w:color w:val="555555"/>
          <w:spacing w:val="0"/>
          <w:sz w:val="28"/>
          <w:szCs w:val="28"/>
          <w:shd w:val="clear" w:color="auto" w:fill="FFFFFF"/>
          <w:lang w:eastAsia="zh-CN"/>
        </w:rPr>
        <w:t>证明文件</w:t>
      </w:r>
      <w:r>
        <w:rPr>
          <w:rFonts w:hint="eastAsia" w:ascii="仿宋_GB2312" w:hAnsi="仿宋_GB2312" w:eastAsia="仿宋_GB2312" w:cs="仿宋_GB2312"/>
          <w:i w:val="0"/>
          <w:caps w:val="0"/>
          <w:color w:val="555555"/>
          <w:spacing w:val="0"/>
          <w:sz w:val="28"/>
          <w:szCs w:val="28"/>
          <w:shd w:val="clear" w:color="auto" w:fill="FFFFFF"/>
        </w:rPr>
        <w:t>（包含三级）</w:t>
      </w:r>
      <w:r>
        <w:rPr>
          <w:rFonts w:hint="eastAsia" w:ascii="仿宋_GB2312" w:hAnsi="仿宋_GB2312" w:eastAsia="仿宋_GB2312" w:cs="仿宋_GB2312"/>
          <w:color w:val="C00000"/>
          <w:sz w:val="28"/>
          <w:szCs w:val="28"/>
        </w:rPr>
        <w:t>（复印件）</w:t>
      </w:r>
    </w:p>
    <w:p>
      <w:pPr>
        <w:spacing w:line="24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6、法定代表人授权书（原件，格式见附件3）暨经办人授权书，法人、经办人身份证（复印件）</w:t>
      </w:r>
      <w:r>
        <w:rPr>
          <w:rFonts w:hint="eastAsia" w:ascii="仿宋_GB2312" w:hAnsi="仿宋_GB2312" w:eastAsia="仿宋_GB2312" w:cs="仿宋_GB2312"/>
          <w:color w:val="C00000"/>
          <w:sz w:val="28"/>
          <w:szCs w:val="28"/>
        </w:rPr>
        <w:t>资质</w:t>
      </w:r>
      <w:r>
        <w:rPr>
          <w:rFonts w:hint="eastAsia" w:ascii="仿宋_GB2312" w:hAnsi="仿宋_GB2312" w:eastAsia="仿宋_GB2312" w:cs="仿宋_GB2312"/>
          <w:sz w:val="28"/>
          <w:szCs w:val="28"/>
        </w:rPr>
        <w:t>复印件需要盖章。</w:t>
      </w:r>
    </w:p>
    <w:p>
      <w:pPr>
        <w:spacing w:line="240" w:lineRule="atLeas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bCs/>
          <w:sz w:val="28"/>
          <w:szCs w:val="28"/>
        </w:rPr>
        <w:t>如有</w:t>
      </w:r>
      <w:r>
        <w:rPr>
          <w:rFonts w:hint="eastAsia" w:ascii="仿宋_GB2312" w:hAnsi="仿宋_GB2312" w:eastAsia="仿宋_GB2312" w:cs="仿宋_GB2312"/>
          <w:sz w:val="28"/>
          <w:szCs w:val="28"/>
        </w:rPr>
        <w:t>企业管理体系认证（考核），请提供的有效证明文件的复印或扫描件，质量管理体系认证包括FDA、CE、ISO等认证（提供中文翻译复印件）</w:t>
      </w:r>
    </w:p>
    <w:p>
      <w:pPr>
        <w:spacing w:line="24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8、</w:t>
      </w:r>
      <w:r>
        <w:rPr>
          <w:rFonts w:hint="eastAsia" w:ascii="仿宋_GB2312" w:hAnsi="仿宋_GB2312" w:eastAsia="仿宋_GB2312" w:cs="仿宋_GB2312"/>
          <w:sz w:val="28"/>
          <w:szCs w:val="28"/>
        </w:rPr>
        <w:t>设计规范或标准</w:t>
      </w:r>
    </w:p>
    <w:p>
      <w:pPr>
        <w:spacing w:line="24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bCs/>
          <w:spacing w:val="8"/>
          <w:sz w:val="28"/>
          <w:szCs w:val="28"/>
        </w:rPr>
        <w:t>售后</w:t>
      </w:r>
      <w:r>
        <w:rPr>
          <w:rFonts w:hint="eastAsia" w:ascii="仿宋_GB2312" w:hAnsi="仿宋_GB2312" w:eastAsia="仿宋_GB2312" w:cs="仿宋_GB2312"/>
          <w:bCs/>
          <w:sz w:val="28"/>
          <w:szCs w:val="28"/>
        </w:rPr>
        <w:t>服务承诺书</w:t>
      </w:r>
    </w:p>
    <w:p>
      <w:pPr>
        <w:spacing w:line="240" w:lineRule="atLeast"/>
        <w:ind w:firstLine="592" w:firstLineChars="200"/>
        <w:rPr>
          <w:rFonts w:hint="eastAsia" w:ascii="仿宋_GB2312" w:hAnsi="仿宋_GB2312" w:eastAsia="仿宋_GB2312" w:cs="仿宋_GB2312"/>
          <w:bCs/>
          <w:spacing w:val="8"/>
          <w:sz w:val="28"/>
          <w:szCs w:val="28"/>
        </w:rPr>
      </w:pPr>
      <w:r>
        <w:rPr>
          <w:rFonts w:hint="eastAsia" w:ascii="仿宋_GB2312" w:hAnsi="仿宋_GB2312" w:eastAsia="仿宋_GB2312" w:cs="仿宋_GB2312"/>
          <w:bCs/>
          <w:spacing w:val="8"/>
          <w:sz w:val="28"/>
          <w:szCs w:val="28"/>
        </w:rPr>
        <w:t>10、</w:t>
      </w:r>
      <w:r>
        <w:rPr>
          <w:rFonts w:hint="eastAsia" w:ascii="仿宋_GB2312" w:hAnsi="仿宋_GB2312" w:eastAsia="仿宋_GB2312" w:cs="仿宋_GB2312"/>
          <w:sz w:val="28"/>
          <w:szCs w:val="28"/>
        </w:rPr>
        <w:t>业绩证明文件（近三年用户名单及联系人与联系方式及合同复印件或近三个月内送货复印件，格式见附件3）。</w:t>
      </w:r>
    </w:p>
    <w:p>
      <w:pPr>
        <w:tabs>
          <w:tab w:val="left" w:pos="0"/>
        </w:tabs>
        <w:spacing w:line="240" w:lineRule="atLeast"/>
        <w:ind w:firstLine="592"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pacing w:val="8"/>
          <w:sz w:val="28"/>
          <w:szCs w:val="28"/>
        </w:rPr>
        <w:t>11、封底</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注：请务必按以上顺序装订资料，如有非中文资料，请同时提供中文翻译件。</w:t>
      </w:r>
    </w:p>
    <w:p>
      <w:pPr>
        <w:spacing w:line="440" w:lineRule="exact"/>
        <w:ind w:firstLine="568" w:firstLineChars="202"/>
        <w:rPr>
          <w:rFonts w:hint="eastAsia" w:ascii="仿宋_GB2312" w:hAnsi="仿宋_GB2312" w:eastAsia="仿宋_GB2312" w:cs="仿宋_GB2312"/>
          <w:b/>
          <w:sz w:val="28"/>
          <w:szCs w:val="28"/>
        </w:rPr>
      </w:pPr>
    </w:p>
    <w:p>
      <w:pPr>
        <w:spacing w:line="440" w:lineRule="exact"/>
        <w:ind w:firstLine="568" w:firstLineChars="202"/>
        <w:rPr>
          <w:rFonts w:hint="eastAsia" w:ascii="仿宋_GB2312" w:hAnsi="仿宋_GB2312" w:eastAsia="仿宋_GB2312" w:cs="仿宋_GB2312"/>
          <w:b/>
          <w:sz w:val="28"/>
          <w:szCs w:val="28"/>
        </w:rPr>
      </w:pPr>
    </w:p>
    <w:p>
      <w:pPr>
        <w:spacing w:line="44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3</w:t>
      </w:r>
    </w:p>
    <w:p>
      <w:pPr>
        <w:adjustRightInd w:val="0"/>
        <w:spacing w:line="400" w:lineRule="exact"/>
        <w:jc w:val="center"/>
        <w:rPr>
          <w:rFonts w:hint="eastAsia" w:ascii="仿宋_GB2312" w:hAnsi="仿宋_GB2312" w:eastAsia="仿宋_GB2312" w:cs="仿宋_GB2312"/>
          <w:sz w:val="28"/>
          <w:szCs w:val="28"/>
        </w:rPr>
      </w:pPr>
    </w:p>
    <w:p>
      <w:pPr>
        <w:adjustRightIn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报价一览表</w:t>
      </w:r>
    </w:p>
    <w:p>
      <w:pPr>
        <w:jc w:val="center"/>
        <w:rPr>
          <w:rFonts w:hint="eastAsia" w:ascii="仿宋_GB2312" w:hAnsi="仿宋_GB2312" w:eastAsia="仿宋_GB2312" w:cs="仿宋_GB2312"/>
          <w:b/>
          <w:sz w:val="28"/>
          <w:szCs w:val="28"/>
        </w:rPr>
      </w:pPr>
    </w:p>
    <w:tbl>
      <w:tblPr>
        <w:tblStyle w:val="2"/>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684"/>
        <w:gridCol w:w="1031"/>
        <w:gridCol w:w="1984"/>
        <w:gridCol w:w="156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单价（万元）</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金额（万元）</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8"/>
                <w:szCs w:val="28"/>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8"/>
                <w:szCs w:val="28"/>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8"/>
                <w:szCs w:val="28"/>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8"/>
                <w:szCs w:val="28"/>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合计</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8"/>
                <w:szCs w:val="28"/>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8"/>
                <w:szCs w:val="28"/>
              </w:rPr>
            </w:pPr>
          </w:p>
        </w:tc>
      </w:tr>
    </w:tbl>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注：1.报价应是最终用户验收合格后的总价，税费、采购文件规定的其它费用。</w:t>
      </w:r>
    </w:p>
    <w:p>
      <w:pPr>
        <w:spacing w:line="4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2.“报价一览表”为多页的，每页均需由法定代表人或授权代表签字并盖投标人印章。</w:t>
      </w:r>
    </w:p>
    <w:p>
      <w:pPr>
        <w:spacing w:line="4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3.“报价一览表”需单独密封。</w:t>
      </w:r>
    </w:p>
    <w:p>
      <w:pPr>
        <w:adjustRightInd w:val="0"/>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供应商名称（盖章）：        </w:t>
      </w:r>
    </w:p>
    <w:p>
      <w:pPr>
        <w:adjustRightInd w:val="0"/>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法定代表人或授权代表（签字）：                 </w:t>
      </w:r>
      <w:r>
        <w:rPr>
          <w:rFonts w:hint="eastAsia" w:ascii="仿宋_GB2312" w:hAnsi="仿宋_GB2312" w:eastAsia="仿宋_GB2312" w:cs="仿宋_GB2312"/>
          <w:bCs/>
          <w:sz w:val="28"/>
          <w:szCs w:val="28"/>
        </w:rPr>
        <w:t>联系方式：</w:t>
      </w:r>
      <w:r>
        <w:rPr>
          <w:rFonts w:hint="eastAsia" w:ascii="仿宋_GB2312" w:hAnsi="仿宋_GB2312" w:eastAsia="仿宋_GB2312" w:cs="仿宋_GB2312"/>
          <w:bCs/>
          <w:sz w:val="28"/>
          <w:szCs w:val="28"/>
          <w:u w:val="single"/>
        </w:rPr>
        <w:t xml:space="preserve">        </w:t>
      </w:r>
    </w:p>
    <w:p>
      <w:pPr>
        <w:spacing w:line="400" w:lineRule="exact"/>
        <w:ind w:firstLine="48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日期：</w:t>
      </w:r>
    </w:p>
    <w:p>
      <w:pPr>
        <w:spacing w:line="0" w:lineRule="atLeast"/>
        <w:rPr>
          <w:rFonts w:hint="eastAsia" w:ascii="仿宋_GB2312" w:hAnsi="仿宋_GB2312" w:eastAsia="仿宋_GB2312" w:cs="仿宋_GB2312"/>
          <w:bCs/>
          <w:sz w:val="28"/>
          <w:szCs w:val="28"/>
          <w:u w:val="single"/>
        </w:rPr>
      </w:pPr>
    </w:p>
    <w:p>
      <w:pPr>
        <w:spacing w:line="0" w:lineRule="atLeast"/>
        <w:rPr>
          <w:rFonts w:hint="eastAsia" w:ascii="仿宋_GB2312" w:hAnsi="仿宋_GB2312" w:eastAsia="仿宋_GB2312" w:cs="仿宋_GB2312"/>
          <w:bCs/>
          <w:sz w:val="28"/>
          <w:szCs w:val="28"/>
          <w:u w:val="single"/>
        </w:rPr>
      </w:pPr>
    </w:p>
    <w:p>
      <w:pPr>
        <w:spacing w:line="0" w:lineRule="atLeast"/>
        <w:rPr>
          <w:rFonts w:hint="eastAsia" w:ascii="仿宋_GB2312" w:hAnsi="仿宋_GB2312" w:eastAsia="仿宋_GB2312" w:cs="仿宋_GB2312"/>
          <w:bCs/>
          <w:sz w:val="28"/>
          <w:szCs w:val="28"/>
          <w:u w:val="single"/>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项目业绩表</w:t>
      </w:r>
    </w:p>
    <w:tbl>
      <w:tblPr>
        <w:tblStyle w:val="2"/>
        <w:tblW w:w="7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824"/>
        <w:gridCol w:w="1110"/>
        <w:gridCol w:w="177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6" w:type="dxa"/>
            <w:vMerge w:val="restart"/>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省外省级以上单位用户</w:t>
            </w:r>
          </w:p>
        </w:tc>
        <w:tc>
          <w:tcPr>
            <w:tcW w:w="1824" w:type="dxa"/>
            <w:noWrap w:val="0"/>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用户名称</w:t>
            </w:r>
          </w:p>
        </w:tc>
        <w:tc>
          <w:tcPr>
            <w:tcW w:w="1110" w:type="dxa"/>
            <w:noWrap w:val="0"/>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77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合同签订日期</w:t>
            </w:r>
          </w:p>
        </w:tc>
        <w:tc>
          <w:tcPr>
            <w:tcW w:w="1260" w:type="dxa"/>
            <w:noWrap w:val="0"/>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6" w:type="dxa"/>
            <w:vMerge w:val="continue"/>
            <w:noWrap w:val="0"/>
            <w:vAlign w:val="center"/>
          </w:tcPr>
          <w:p>
            <w:pPr>
              <w:jc w:val="center"/>
              <w:rPr>
                <w:rFonts w:hint="eastAsia" w:ascii="仿宋_GB2312" w:hAnsi="仿宋_GB2312" w:eastAsia="仿宋_GB2312" w:cs="仿宋_GB2312"/>
                <w:sz w:val="28"/>
                <w:szCs w:val="28"/>
              </w:rPr>
            </w:pPr>
          </w:p>
        </w:tc>
        <w:tc>
          <w:tcPr>
            <w:tcW w:w="1824" w:type="dxa"/>
            <w:noWrap w:val="0"/>
            <w:vAlign w:val="top"/>
          </w:tcPr>
          <w:p>
            <w:pPr>
              <w:jc w:val="center"/>
              <w:rPr>
                <w:rFonts w:hint="eastAsia" w:ascii="仿宋_GB2312" w:hAnsi="仿宋_GB2312" w:eastAsia="仿宋_GB2312" w:cs="仿宋_GB2312"/>
                <w:sz w:val="28"/>
                <w:szCs w:val="28"/>
              </w:rPr>
            </w:pPr>
          </w:p>
        </w:tc>
        <w:tc>
          <w:tcPr>
            <w:tcW w:w="1110" w:type="dxa"/>
            <w:noWrap w:val="0"/>
            <w:vAlign w:val="top"/>
          </w:tcPr>
          <w:p>
            <w:pPr>
              <w:jc w:val="center"/>
              <w:rPr>
                <w:rFonts w:hint="eastAsia" w:ascii="仿宋_GB2312" w:hAnsi="仿宋_GB2312" w:eastAsia="仿宋_GB2312" w:cs="仿宋_GB2312"/>
                <w:sz w:val="28"/>
                <w:szCs w:val="28"/>
              </w:rPr>
            </w:pPr>
          </w:p>
        </w:tc>
        <w:tc>
          <w:tcPr>
            <w:tcW w:w="1770" w:type="dxa"/>
            <w:noWrap w:val="0"/>
            <w:vAlign w:val="top"/>
          </w:tcPr>
          <w:p>
            <w:pPr>
              <w:jc w:val="center"/>
              <w:rPr>
                <w:rFonts w:hint="eastAsia" w:ascii="仿宋_GB2312" w:hAnsi="仿宋_GB2312" w:eastAsia="仿宋_GB2312" w:cs="仿宋_GB2312"/>
                <w:sz w:val="28"/>
                <w:szCs w:val="28"/>
              </w:rPr>
            </w:pPr>
          </w:p>
        </w:tc>
        <w:tc>
          <w:tcPr>
            <w:tcW w:w="1260" w:type="dxa"/>
            <w:noWrap w:val="0"/>
            <w:vAlign w:val="top"/>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6" w:type="dxa"/>
            <w:vMerge w:val="continue"/>
            <w:noWrap w:val="0"/>
            <w:vAlign w:val="center"/>
          </w:tcPr>
          <w:p>
            <w:pPr>
              <w:jc w:val="center"/>
              <w:rPr>
                <w:rFonts w:hint="eastAsia" w:ascii="仿宋_GB2312" w:hAnsi="仿宋_GB2312" w:eastAsia="仿宋_GB2312" w:cs="仿宋_GB2312"/>
                <w:sz w:val="28"/>
                <w:szCs w:val="28"/>
              </w:rPr>
            </w:pPr>
          </w:p>
        </w:tc>
        <w:tc>
          <w:tcPr>
            <w:tcW w:w="1824" w:type="dxa"/>
            <w:noWrap w:val="0"/>
            <w:vAlign w:val="top"/>
          </w:tcPr>
          <w:p>
            <w:pPr>
              <w:jc w:val="center"/>
              <w:rPr>
                <w:rFonts w:hint="eastAsia" w:ascii="仿宋_GB2312" w:hAnsi="仿宋_GB2312" w:eastAsia="仿宋_GB2312" w:cs="仿宋_GB2312"/>
                <w:sz w:val="28"/>
                <w:szCs w:val="28"/>
              </w:rPr>
            </w:pPr>
          </w:p>
        </w:tc>
        <w:tc>
          <w:tcPr>
            <w:tcW w:w="1110" w:type="dxa"/>
            <w:noWrap w:val="0"/>
            <w:vAlign w:val="top"/>
          </w:tcPr>
          <w:p>
            <w:pPr>
              <w:jc w:val="center"/>
              <w:rPr>
                <w:rFonts w:hint="eastAsia" w:ascii="仿宋_GB2312" w:hAnsi="仿宋_GB2312" w:eastAsia="仿宋_GB2312" w:cs="仿宋_GB2312"/>
                <w:sz w:val="28"/>
                <w:szCs w:val="28"/>
              </w:rPr>
            </w:pPr>
          </w:p>
        </w:tc>
        <w:tc>
          <w:tcPr>
            <w:tcW w:w="1770" w:type="dxa"/>
            <w:noWrap w:val="0"/>
            <w:vAlign w:val="top"/>
          </w:tcPr>
          <w:p>
            <w:pPr>
              <w:jc w:val="center"/>
              <w:rPr>
                <w:rFonts w:hint="eastAsia" w:ascii="仿宋_GB2312" w:hAnsi="仿宋_GB2312" w:eastAsia="仿宋_GB2312" w:cs="仿宋_GB2312"/>
                <w:sz w:val="28"/>
                <w:szCs w:val="28"/>
              </w:rPr>
            </w:pPr>
          </w:p>
        </w:tc>
        <w:tc>
          <w:tcPr>
            <w:tcW w:w="1260" w:type="dxa"/>
            <w:noWrap w:val="0"/>
            <w:vAlign w:val="top"/>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6" w:type="dxa"/>
            <w:vMerge w:val="continue"/>
            <w:noWrap w:val="0"/>
            <w:vAlign w:val="center"/>
          </w:tcPr>
          <w:p>
            <w:pPr>
              <w:jc w:val="center"/>
              <w:rPr>
                <w:rFonts w:hint="eastAsia" w:ascii="仿宋_GB2312" w:hAnsi="仿宋_GB2312" w:eastAsia="仿宋_GB2312" w:cs="仿宋_GB2312"/>
                <w:sz w:val="28"/>
                <w:szCs w:val="28"/>
              </w:rPr>
            </w:pPr>
          </w:p>
        </w:tc>
        <w:tc>
          <w:tcPr>
            <w:tcW w:w="1824" w:type="dxa"/>
            <w:noWrap w:val="0"/>
            <w:vAlign w:val="top"/>
          </w:tcPr>
          <w:p>
            <w:pPr>
              <w:rPr>
                <w:rFonts w:hint="eastAsia" w:ascii="仿宋_GB2312" w:hAnsi="仿宋_GB2312" w:eastAsia="仿宋_GB2312" w:cs="仿宋_GB2312"/>
                <w:sz w:val="28"/>
                <w:szCs w:val="28"/>
              </w:rPr>
            </w:pPr>
          </w:p>
        </w:tc>
        <w:tc>
          <w:tcPr>
            <w:tcW w:w="1110" w:type="dxa"/>
            <w:noWrap w:val="0"/>
            <w:vAlign w:val="top"/>
          </w:tcPr>
          <w:p>
            <w:pPr>
              <w:rPr>
                <w:rFonts w:hint="eastAsia" w:ascii="仿宋_GB2312" w:hAnsi="仿宋_GB2312" w:eastAsia="仿宋_GB2312" w:cs="仿宋_GB2312"/>
                <w:sz w:val="28"/>
                <w:szCs w:val="28"/>
              </w:rPr>
            </w:pPr>
          </w:p>
        </w:tc>
        <w:tc>
          <w:tcPr>
            <w:tcW w:w="1770" w:type="dxa"/>
            <w:noWrap w:val="0"/>
            <w:vAlign w:val="top"/>
          </w:tcPr>
          <w:p>
            <w:pPr>
              <w:rPr>
                <w:rFonts w:hint="eastAsia" w:ascii="仿宋_GB2312" w:hAnsi="仿宋_GB2312" w:eastAsia="仿宋_GB2312" w:cs="仿宋_GB2312"/>
                <w:sz w:val="28"/>
                <w:szCs w:val="28"/>
              </w:rPr>
            </w:pPr>
          </w:p>
        </w:tc>
        <w:tc>
          <w:tcPr>
            <w:tcW w:w="1260"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6" w:type="dxa"/>
            <w:vMerge w:val="continue"/>
            <w:noWrap w:val="0"/>
            <w:vAlign w:val="center"/>
          </w:tcPr>
          <w:p>
            <w:pPr>
              <w:jc w:val="center"/>
              <w:rPr>
                <w:rFonts w:hint="eastAsia" w:ascii="仿宋_GB2312" w:hAnsi="仿宋_GB2312" w:eastAsia="仿宋_GB2312" w:cs="仿宋_GB2312"/>
                <w:sz w:val="28"/>
                <w:szCs w:val="28"/>
              </w:rPr>
            </w:pPr>
          </w:p>
        </w:tc>
        <w:tc>
          <w:tcPr>
            <w:tcW w:w="1824" w:type="dxa"/>
            <w:noWrap w:val="0"/>
            <w:vAlign w:val="top"/>
          </w:tcPr>
          <w:p>
            <w:pPr>
              <w:rPr>
                <w:rFonts w:hint="eastAsia" w:ascii="仿宋_GB2312" w:hAnsi="仿宋_GB2312" w:eastAsia="仿宋_GB2312" w:cs="仿宋_GB2312"/>
                <w:sz w:val="28"/>
                <w:szCs w:val="28"/>
              </w:rPr>
            </w:pPr>
          </w:p>
        </w:tc>
        <w:tc>
          <w:tcPr>
            <w:tcW w:w="1110" w:type="dxa"/>
            <w:noWrap w:val="0"/>
            <w:vAlign w:val="top"/>
          </w:tcPr>
          <w:p>
            <w:pPr>
              <w:rPr>
                <w:rFonts w:hint="eastAsia" w:ascii="仿宋_GB2312" w:hAnsi="仿宋_GB2312" w:eastAsia="仿宋_GB2312" w:cs="仿宋_GB2312"/>
                <w:sz w:val="28"/>
                <w:szCs w:val="28"/>
              </w:rPr>
            </w:pPr>
          </w:p>
        </w:tc>
        <w:tc>
          <w:tcPr>
            <w:tcW w:w="1770" w:type="dxa"/>
            <w:noWrap w:val="0"/>
            <w:vAlign w:val="top"/>
          </w:tcPr>
          <w:p>
            <w:pPr>
              <w:rPr>
                <w:rFonts w:hint="eastAsia" w:ascii="仿宋_GB2312" w:hAnsi="仿宋_GB2312" w:eastAsia="仿宋_GB2312" w:cs="仿宋_GB2312"/>
                <w:sz w:val="28"/>
                <w:szCs w:val="28"/>
              </w:rPr>
            </w:pPr>
          </w:p>
        </w:tc>
        <w:tc>
          <w:tcPr>
            <w:tcW w:w="1260"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56" w:type="dxa"/>
            <w:vMerge w:val="restart"/>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省内省级单位用户</w:t>
            </w:r>
          </w:p>
        </w:tc>
        <w:tc>
          <w:tcPr>
            <w:tcW w:w="1824" w:type="dxa"/>
            <w:noWrap w:val="0"/>
            <w:vAlign w:val="top"/>
          </w:tcPr>
          <w:p>
            <w:pPr>
              <w:rPr>
                <w:rFonts w:hint="eastAsia" w:ascii="仿宋_GB2312" w:hAnsi="仿宋_GB2312" w:eastAsia="仿宋_GB2312" w:cs="仿宋_GB2312"/>
                <w:sz w:val="28"/>
                <w:szCs w:val="28"/>
              </w:rPr>
            </w:pPr>
          </w:p>
        </w:tc>
        <w:tc>
          <w:tcPr>
            <w:tcW w:w="1110" w:type="dxa"/>
            <w:noWrap w:val="0"/>
            <w:vAlign w:val="top"/>
          </w:tcPr>
          <w:p>
            <w:pPr>
              <w:rPr>
                <w:rFonts w:hint="eastAsia" w:ascii="仿宋_GB2312" w:hAnsi="仿宋_GB2312" w:eastAsia="仿宋_GB2312" w:cs="仿宋_GB2312"/>
                <w:sz w:val="28"/>
                <w:szCs w:val="28"/>
              </w:rPr>
            </w:pPr>
          </w:p>
        </w:tc>
        <w:tc>
          <w:tcPr>
            <w:tcW w:w="1770" w:type="dxa"/>
            <w:noWrap w:val="0"/>
            <w:vAlign w:val="top"/>
          </w:tcPr>
          <w:p>
            <w:pPr>
              <w:rPr>
                <w:rFonts w:hint="eastAsia" w:ascii="仿宋_GB2312" w:hAnsi="仿宋_GB2312" w:eastAsia="仿宋_GB2312" w:cs="仿宋_GB2312"/>
                <w:sz w:val="28"/>
                <w:szCs w:val="28"/>
              </w:rPr>
            </w:pPr>
          </w:p>
        </w:tc>
        <w:tc>
          <w:tcPr>
            <w:tcW w:w="1260"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56" w:type="dxa"/>
            <w:vMerge w:val="continue"/>
            <w:noWrap w:val="0"/>
            <w:vAlign w:val="center"/>
          </w:tcPr>
          <w:p>
            <w:pPr>
              <w:jc w:val="center"/>
              <w:rPr>
                <w:rFonts w:hint="eastAsia" w:ascii="仿宋_GB2312" w:hAnsi="仿宋_GB2312" w:eastAsia="仿宋_GB2312" w:cs="仿宋_GB2312"/>
                <w:sz w:val="28"/>
                <w:szCs w:val="28"/>
              </w:rPr>
            </w:pPr>
          </w:p>
        </w:tc>
        <w:tc>
          <w:tcPr>
            <w:tcW w:w="1824" w:type="dxa"/>
            <w:noWrap w:val="0"/>
            <w:vAlign w:val="top"/>
          </w:tcPr>
          <w:p>
            <w:pPr>
              <w:rPr>
                <w:rFonts w:hint="eastAsia" w:ascii="仿宋_GB2312" w:hAnsi="仿宋_GB2312" w:eastAsia="仿宋_GB2312" w:cs="仿宋_GB2312"/>
                <w:sz w:val="28"/>
                <w:szCs w:val="28"/>
              </w:rPr>
            </w:pPr>
          </w:p>
        </w:tc>
        <w:tc>
          <w:tcPr>
            <w:tcW w:w="1110" w:type="dxa"/>
            <w:noWrap w:val="0"/>
            <w:vAlign w:val="top"/>
          </w:tcPr>
          <w:p>
            <w:pPr>
              <w:rPr>
                <w:rFonts w:hint="eastAsia" w:ascii="仿宋_GB2312" w:hAnsi="仿宋_GB2312" w:eastAsia="仿宋_GB2312" w:cs="仿宋_GB2312"/>
                <w:sz w:val="28"/>
                <w:szCs w:val="28"/>
              </w:rPr>
            </w:pPr>
          </w:p>
        </w:tc>
        <w:tc>
          <w:tcPr>
            <w:tcW w:w="1770" w:type="dxa"/>
            <w:noWrap w:val="0"/>
            <w:vAlign w:val="top"/>
          </w:tcPr>
          <w:p>
            <w:pPr>
              <w:rPr>
                <w:rFonts w:hint="eastAsia" w:ascii="仿宋_GB2312" w:hAnsi="仿宋_GB2312" w:eastAsia="仿宋_GB2312" w:cs="仿宋_GB2312"/>
                <w:sz w:val="28"/>
                <w:szCs w:val="28"/>
              </w:rPr>
            </w:pPr>
          </w:p>
        </w:tc>
        <w:tc>
          <w:tcPr>
            <w:tcW w:w="1260"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56" w:type="dxa"/>
            <w:vMerge w:val="continue"/>
            <w:noWrap w:val="0"/>
            <w:vAlign w:val="center"/>
          </w:tcPr>
          <w:p>
            <w:pPr>
              <w:jc w:val="center"/>
              <w:rPr>
                <w:rFonts w:hint="eastAsia" w:ascii="仿宋_GB2312" w:hAnsi="仿宋_GB2312" w:eastAsia="仿宋_GB2312" w:cs="仿宋_GB2312"/>
                <w:sz w:val="28"/>
                <w:szCs w:val="28"/>
              </w:rPr>
            </w:pPr>
          </w:p>
        </w:tc>
        <w:tc>
          <w:tcPr>
            <w:tcW w:w="1824" w:type="dxa"/>
            <w:noWrap w:val="0"/>
            <w:vAlign w:val="top"/>
          </w:tcPr>
          <w:p>
            <w:pPr>
              <w:rPr>
                <w:rFonts w:hint="eastAsia" w:ascii="仿宋_GB2312" w:hAnsi="仿宋_GB2312" w:eastAsia="仿宋_GB2312" w:cs="仿宋_GB2312"/>
                <w:sz w:val="28"/>
                <w:szCs w:val="28"/>
              </w:rPr>
            </w:pPr>
          </w:p>
        </w:tc>
        <w:tc>
          <w:tcPr>
            <w:tcW w:w="1110" w:type="dxa"/>
            <w:noWrap w:val="0"/>
            <w:vAlign w:val="top"/>
          </w:tcPr>
          <w:p>
            <w:pPr>
              <w:rPr>
                <w:rFonts w:hint="eastAsia" w:ascii="仿宋_GB2312" w:hAnsi="仿宋_GB2312" w:eastAsia="仿宋_GB2312" w:cs="仿宋_GB2312"/>
                <w:sz w:val="28"/>
                <w:szCs w:val="28"/>
              </w:rPr>
            </w:pPr>
          </w:p>
        </w:tc>
        <w:tc>
          <w:tcPr>
            <w:tcW w:w="1770" w:type="dxa"/>
            <w:noWrap w:val="0"/>
            <w:vAlign w:val="top"/>
          </w:tcPr>
          <w:p>
            <w:pPr>
              <w:rPr>
                <w:rFonts w:hint="eastAsia" w:ascii="仿宋_GB2312" w:hAnsi="仿宋_GB2312" w:eastAsia="仿宋_GB2312" w:cs="仿宋_GB2312"/>
                <w:sz w:val="28"/>
                <w:szCs w:val="28"/>
              </w:rPr>
            </w:pPr>
          </w:p>
        </w:tc>
        <w:tc>
          <w:tcPr>
            <w:tcW w:w="1260"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56" w:type="dxa"/>
            <w:vMerge w:val="continue"/>
            <w:noWrap w:val="0"/>
            <w:vAlign w:val="center"/>
          </w:tcPr>
          <w:p>
            <w:pPr>
              <w:jc w:val="center"/>
              <w:rPr>
                <w:rFonts w:hint="eastAsia" w:ascii="仿宋_GB2312" w:hAnsi="仿宋_GB2312" w:eastAsia="仿宋_GB2312" w:cs="仿宋_GB2312"/>
                <w:sz w:val="28"/>
                <w:szCs w:val="28"/>
              </w:rPr>
            </w:pPr>
          </w:p>
        </w:tc>
        <w:tc>
          <w:tcPr>
            <w:tcW w:w="1824" w:type="dxa"/>
            <w:noWrap w:val="0"/>
            <w:vAlign w:val="top"/>
          </w:tcPr>
          <w:p>
            <w:pPr>
              <w:rPr>
                <w:rFonts w:hint="eastAsia" w:ascii="仿宋_GB2312" w:hAnsi="仿宋_GB2312" w:eastAsia="仿宋_GB2312" w:cs="仿宋_GB2312"/>
                <w:sz w:val="28"/>
                <w:szCs w:val="28"/>
              </w:rPr>
            </w:pPr>
          </w:p>
        </w:tc>
        <w:tc>
          <w:tcPr>
            <w:tcW w:w="1110" w:type="dxa"/>
            <w:noWrap w:val="0"/>
            <w:vAlign w:val="top"/>
          </w:tcPr>
          <w:p>
            <w:pPr>
              <w:rPr>
                <w:rFonts w:hint="eastAsia" w:ascii="仿宋_GB2312" w:hAnsi="仿宋_GB2312" w:eastAsia="仿宋_GB2312" w:cs="仿宋_GB2312"/>
                <w:sz w:val="28"/>
                <w:szCs w:val="28"/>
              </w:rPr>
            </w:pPr>
          </w:p>
        </w:tc>
        <w:tc>
          <w:tcPr>
            <w:tcW w:w="1770" w:type="dxa"/>
            <w:noWrap w:val="0"/>
            <w:vAlign w:val="top"/>
          </w:tcPr>
          <w:p>
            <w:pPr>
              <w:rPr>
                <w:rFonts w:hint="eastAsia" w:ascii="仿宋_GB2312" w:hAnsi="仿宋_GB2312" w:eastAsia="仿宋_GB2312" w:cs="仿宋_GB2312"/>
                <w:sz w:val="28"/>
                <w:szCs w:val="28"/>
              </w:rPr>
            </w:pPr>
          </w:p>
        </w:tc>
        <w:tc>
          <w:tcPr>
            <w:tcW w:w="1260"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56" w:type="dxa"/>
            <w:vMerge w:val="restart"/>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省内其他用户</w:t>
            </w:r>
          </w:p>
        </w:tc>
        <w:tc>
          <w:tcPr>
            <w:tcW w:w="1824" w:type="dxa"/>
            <w:noWrap w:val="0"/>
            <w:vAlign w:val="top"/>
          </w:tcPr>
          <w:p>
            <w:pPr>
              <w:rPr>
                <w:rFonts w:hint="eastAsia" w:ascii="仿宋_GB2312" w:hAnsi="仿宋_GB2312" w:eastAsia="仿宋_GB2312" w:cs="仿宋_GB2312"/>
                <w:sz w:val="28"/>
                <w:szCs w:val="28"/>
              </w:rPr>
            </w:pPr>
          </w:p>
        </w:tc>
        <w:tc>
          <w:tcPr>
            <w:tcW w:w="1110" w:type="dxa"/>
            <w:noWrap w:val="0"/>
            <w:vAlign w:val="top"/>
          </w:tcPr>
          <w:p>
            <w:pPr>
              <w:rPr>
                <w:rFonts w:hint="eastAsia" w:ascii="仿宋_GB2312" w:hAnsi="仿宋_GB2312" w:eastAsia="仿宋_GB2312" w:cs="仿宋_GB2312"/>
                <w:sz w:val="28"/>
                <w:szCs w:val="28"/>
              </w:rPr>
            </w:pPr>
          </w:p>
        </w:tc>
        <w:tc>
          <w:tcPr>
            <w:tcW w:w="1770" w:type="dxa"/>
            <w:noWrap w:val="0"/>
            <w:vAlign w:val="top"/>
          </w:tcPr>
          <w:p>
            <w:pPr>
              <w:rPr>
                <w:rFonts w:hint="eastAsia" w:ascii="仿宋_GB2312" w:hAnsi="仿宋_GB2312" w:eastAsia="仿宋_GB2312" w:cs="仿宋_GB2312"/>
                <w:sz w:val="28"/>
                <w:szCs w:val="28"/>
              </w:rPr>
            </w:pPr>
          </w:p>
        </w:tc>
        <w:tc>
          <w:tcPr>
            <w:tcW w:w="1260"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56" w:type="dxa"/>
            <w:vMerge w:val="continue"/>
            <w:noWrap w:val="0"/>
            <w:vAlign w:val="top"/>
          </w:tcPr>
          <w:p>
            <w:pPr>
              <w:rPr>
                <w:rFonts w:hint="eastAsia" w:ascii="仿宋_GB2312" w:hAnsi="仿宋_GB2312" w:eastAsia="仿宋_GB2312" w:cs="仿宋_GB2312"/>
                <w:sz w:val="28"/>
                <w:szCs w:val="28"/>
              </w:rPr>
            </w:pPr>
          </w:p>
        </w:tc>
        <w:tc>
          <w:tcPr>
            <w:tcW w:w="1824" w:type="dxa"/>
            <w:noWrap w:val="0"/>
            <w:vAlign w:val="top"/>
          </w:tcPr>
          <w:p>
            <w:pPr>
              <w:rPr>
                <w:rFonts w:hint="eastAsia" w:ascii="仿宋_GB2312" w:hAnsi="仿宋_GB2312" w:eastAsia="仿宋_GB2312" w:cs="仿宋_GB2312"/>
                <w:sz w:val="28"/>
                <w:szCs w:val="28"/>
              </w:rPr>
            </w:pPr>
          </w:p>
        </w:tc>
        <w:tc>
          <w:tcPr>
            <w:tcW w:w="1110" w:type="dxa"/>
            <w:noWrap w:val="0"/>
            <w:vAlign w:val="top"/>
          </w:tcPr>
          <w:p>
            <w:pPr>
              <w:rPr>
                <w:rFonts w:hint="eastAsia" w:ascii="仿宋_GB2312" w:hAnsi="仿宋_GB2312" w:eastAsia="仿宋_GB2312" w:cs="仿宋_GB2312"/>
                <w:sz w:val="28"/>
                <w:szCs w:val="28"/>
              </w:rPr>
            </w:pPr>
          </w:p>
        </w:tc>
        <w:tc>
          <w:tcPr>
            <w:tcW w:w="1770" w:type="dxa"/>
            <w:noWrap w:val="0"/>
            <w:vAlign w:val="top"/>
          </w:tcPr>
          <w:p>
            <w:pPr>
              <w:rPr>
                <w:rFonts w:hint="eastAsia" w:ascii="仿宋_GB2312" w:hAnsi="仿宋_GB2312" w:eastAsia="仿宋_GB2312" w:cs="仿宋_GB2312"/>
                <w:sz w:val="28"/>
                <w:szCs w:val="28"/>
              </w:rPr>
            </w:pPr>
          </w:p>
        </w:tc>
        <w:tc>
          <w:tcPr>
            <w:tcW w:w="1260"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56" w:type="dxa"/>
            <w:vMerge w:val="continue"/>
            <w:noWrap w:val="0"/>
            <w:vAlign w:val="top"/>
          </w:tcPr>
          <w:p>
            <w:pPr>
              <w:rPr>
                <w:rFonts w:hint="eastAsia" w:ascii="仿宋_GB2312" w:hAnsi="仿宋_GB2312" w:eastAsia="仿宋_GB2312" w:cs="仿宋_GB2312"/>
                <w:sz w:val="28"/>
                <w:szCs w:val="28"/>
              </w:rPr>
            </w:pPr>
          </w:p>
        </w:tc>
        <w:tc>
          <w:tcPr>
            <w:tcW w:w="1824" w:type="dxa"/>
            <w:noWrap w:val="0"/>
            <w:vAlign w:val="top"/>
          </w:tcPr>
          <w:p>
            <w:pPr>
              <w:rPr>
                <w:rFonts w:hint="eastAsia" w:ascii="仿宋_GB2312" w:hAnsi="仿宋_GB2312" w:eastAsia="仿宋_GB2312" w:cs="仿宋_GB2312"/>
                <w:sz w:val="28"/>
                <w:szCs w:val="28"/>
              </w:rPr>
            </w:pPr>
          </w:p>
        </w:tc>
        <w:tc>
          <w:tcPr>
            <w:tcW w:w="1110" w:type="dxa"/>
            <w:noWrap w:val="0"/>
            <w:vAlign w:val="top"/>
          </w:tcPr>
          <w:p>
            <w:pPr>
              <w:rPr>
                <w:rFonts w:hint="eastAsia" w:ascii="仿宋_GB2312" w:hAnsi="仿宋_GB2312" w:eastAsia="仿宋_GB2312" w:cs="仿宋_GB2312"/>
                <w:sz w:val="28"/>
                <w:szCs w:val="28"/>
              </w:rPr>
            </w:pPr>
          </w:p>
        </w:tc>
        <w:tc>
          <w:tcPr>
            <w:tcW w:w="1770" w:type="dxa"/>
            <w:noWrap w:val="0"/>
            <w:vAlign w:val="top"/>
          </w:tcPr>
          <w:p>
            <w:pPr>
              <w:rPr>
                <w:rFonts w:hint="eastAsia" w:ascii="仿宋_GB2312" w:hAnsi="仿宋_GB2312" w:eastAsia="仿宋_GB2312" w:cs="仿宋_GB2312"/>
                <w:sz w:val="28"/>
                <w:szCs w:val="28"/>
              </w:rPr>
            </w:pPr>
          </w:p>
        </w:tc>
        <w:tc>
          <w:tcPr>
            <w:tcW w:w="1260"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56" w:type="dxa"/>
            <w:vMerge w:val="continue"/>
            <w:noWrap w:val="0"/>
            <w:vAlign w:val="top"/>
          </w:tcPr>
          <w:p>
            <w:pPr>
              <w:rPr>
                <w:rFonts w:hint="eastAsia" w:ascii="仿宋_GB2312" w:hAnsi="仿宋_GB2312" w:eastAsia="仿宋_GB2312" w:cs="仿宋_GB2312"/>
                <w:sz w:val="28"/>
                <w:szCs w:val="28"/>
              </w:rPr>
            </w:pPr>
          </w:p>
        </w:tc>
        <w:tc>
          <w:tcPr>
            <w:tcW w:w="1824" w:type="dxa"/>
            <w:noWrap w:val="0"/>
            <w:vAlign w:val="top"/>
          </w:tcPr>
          <w:p>
            <w:pPr>
              <w:rPr>
                <w:rFonts w:hint="eastAsia" w:ascii="仿宋_GB2312" w:hAnsi="仿宋_GB2312" w:eastAsia="仿宋_GB2312" w:cs="仿宋_GB2312"/>
                <w:sz w:val="28"/>
                <w:szCs w:val="28"/>
              </w:rPr>
            </w:pPr>
          </w:p>
        </w:tc>
        <w:tc>
          <w:tcPr>
            <w:tcW w:w="1110" w:type="dxa"/>
            <w:noWrap w:val="0"/>
            <w:vAlign w:val="top"/>
          </w:tcPr>
          <w:p>
            <w:pPr>
              <w:rPr>
                <w:rFonts w:hint="eastAsia" w:ascii="仿宋_GB2312" w:hAnsi="仿宋_GB2312" w:eastAsia="仿宋_GB2312" w:cs="仿宋_GB2312"/>
                <w:sz w:val="28"/>
                <w:szCs w:val="28"/>
              </w:rPr>
            </w:pPr>
          </w:p>
        </w:tc>
        <w:tc>
          <w:tcPr>
            <w:tcW w:w="1770" w:type="dxa"/>
            <w:noWrap w:val="0"/>
            <w:vAlign w:val="top"/>
          </w:tcPr>
          <w:p>
            <w:pPr>
              <w:rPr>
                <w:rFonts w:hint="eastAsia" w:ascii="仿宋_GB2312" w:hAnsi="仿宋_GB2312" w:eastAsia="仿宋_GB2312" w:cs="仿宋_GB2312"/>
                <w:sz w:val="28"/>
                <w:szCs w:val="28"/>
              </w:rPr>
            </w:pPr>
          </w:p>
        </w:tc>
        <w:tc>
          <w:tcPr>
            <w:tcW w:w="1260" w:type="dxa"/>
            <w:noWrap w:val="0"/>
            <w:vAlign w:val="top"/>
          </w:tcPr>
          <w:p>
            <w:pPr>
              <w:rPr>
                <w:rFonts w:hint="eastAsia" w:ascii="仿宋_GB2312" w:hAnsi="仿宋_GB2312" w:eastAsia="仿宋_GB2312" w:cs="仿宋_GB2312"/>
                <w:sz w:val="28"/>
                <w:szCs w:val="28"/>
              </w:rPr>
            </w:pP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说明：1、表中项目为近三年销售业绩，用户仍在合作；2、只填写与本次市场调研项目一致。</w:t>
      </w:r>
    </w:p>
    <w:p>
      <w:pPr>
        <w:spacing w:line="400" w:lineRule="exact"/>
        <w:rPr>
          <w:rFonts w:hint="eastAsia" w:ascii="仿宋_GB2312" w:hAnsi="仿宋_GB2312" w:eastAsia="仿宋_GB2312" w:cs="仿宋_GB2312"/>
          <w:sz w:val="28"/>
          <w:szCs w:val="28"/>
        </w:rPr>
      </w:pPr>
    </w:p>
    <w:p>
      <w:pPr>
        <w:tabs>
          <w:tab w:val="left" w:pos="6645"/>
        </w:tabs>
        <w:spacing w:line="360" w:lineRule="auto"/>
        <w:rPr>
          <w:rFonts w:hint="eastAsia" w:ascii="仿宋_GB2312" w:hAnsi="仿宋_GB2312" w:eastAsia="仿宋_GB2312" w:cs="仿宋_GB2312"/>
          <w:sz w:val="28"/>
          <w:szCs w:val="28"/>
        </w:rPr>
      </w:pPr>
    </w:p>
    <w:p>
      <w:pPr>
        <w:tabs>
          <w:tab w:val="left" w:pos="6645"/>
        </w:tabs>
        <w:spacing w:line="360" w:lineRule="auto"/>
        <w:rPr>
          <w:rFonts w:hint="eastAsia" w:ascii="仿宋_GB2312" w:hAnsi="仿宋_GB2312" w:eastAsia="仿宋_GB2312" w:cs="仿宋_GB2312"/>
          <w:sz w:val="28"/>
          <w:szCs w:val="28"/>
        </w:rPr>
      </w:pPr>
    </w:p>
    <w:p>
      <w:pPr>
        <w:tabs>
          <w:tab w:val="left" w:pos="6645"/>
        </w:tabs>
        <w:spacing w:line="360" w:lineRule="auto"/>
        <w:rPr>
          <w:rFonts w:hint="eastAsia" w:ascii="仿宋_GB2312" w:hAnsi="仿宋_GB2312" w:eastAsia="仿宋_GB2312" w:cs="仿宋_GB2312"/>
          <w:sz w:val="28"/>
          <w:szCs w:val="28"/>
        </w:rPr>
      </w:pPr>
    </w:p>
    <w:p>
      <w:pPr>
        <w:tabs>
          <w:tab w:val="left" w:pos="6645"/>
        </w:tabs>
        <w:spacing w:line="360" w:lineRule="auto"/>
        <w:rPr>
          <w:rFonts w:hint="eastAsia" w:ascii="仿宋_GB2312" w:hAnsi="仿宋_GB2312" w:eastAsia="仿宋_GB2312" w:cs="仿宋_GB2312"/>
          <w:sz w:val="28"/>
          <w:szCs w:val="28"/>
        </w:rPr>
      </w:pPr>
    </w:p>
    <w:p>
      <w:pPr>
        <w:tabs>
          <w:tab w:val="left" w:pos="6645"/>
        </w:tabs>
        <w:spacing w:line="360" w:lineRule="auto"/>
        <w:rPr>
          <w:rFonts w:hint="eastAsia" w:ascii="仿宋_GB2312" w:hAnsi="仿宋_GB2312" w:eastAsia="仿宋_GB2312" w:cs="仿宋_GB2312"/>
          <w:sz w:val="28"/>
          <w:szCs w:val="28"/>
        </w:rPr>
      </w:pPr>
    </w:p>
    <w:p>
      <w:pPr>
        <w:tabs>
          <w:tab w:val="left" w:pos="6645"/>
        </w:tabs>
        <w:spacing w:line="360" w:lineRule="auto"/>
        <w:rPr>
          <w:rFonts w:hint="eastAsia" w:ascii="仿宋_GB2312" w:hAnsi="仿宋_GB2312" w:eastAsia="仿宋_GB2312" w:cs="仿宋_GB2312"/>
          <w:sz w:val="28"/>
          <w:szCs w:val="28"/>
        </w:rPr>
      </w:pPr>
    </w:p>
    <w:p>
      <w:pPr>
        <w:tabs>
          <w:tab w:val="left" w:pos="6645"/>
        </w:tabs>
        <w:spacing w:line="360" w:lineRule="auto"/>
        <w:rPr>
          <w:rFonts w:hint="eastAsia" w:ascii="仿宋_GB2312" w:hAnsi="仿宋_GB2312" w:eastAsia="仿宋_GB2312" w:cs="仿宋_GB2312"/>
          <w:sz w:val="28"/>
          <w:szCs w:val="28"/>
        </w:rPr>
      </w:pPr>
    </w:p>
    <w:p>
      <w:pPr>
        <w:tabs>
          <w:tab w:val="left" w:pos="6645"/>
        </w:tabs>
        <w:spacing w:line="360" w:lineRule="auto"/>
        <w:rPr>
          <w:rFonts w:hint="eastAsia" w:ascii="仿宋_GB2312" w:hAnsi="仿宋_GB2312" w:eastAsia="仿宋_GB2312" w:cs="仿宋_GB2312"/>
          <w:sz w:val="28"/>
          <w:szCs w:val="28"/>
        </w:rPr>
      </w:pPr>
    </w:p>
    <w:p>
      <w:pPr>
        <w:tabs>
          <w:tab w:val="left" w:pos="6645"/>
        </w:tabs>
        <w:spacing w:line="360" w:lineRule="auto"/>
        <w:rPr>
          <w:rFonts w:hint="eastAsia" w:ascii="仿宋_GB2312" w:hAnsi="仿宋_GB2312" w:eastAsia="仿宋_GB2312" w:cs="仿宋_GB2312"/>
          <w:sz w:val="28"/>
          <w:szCs w:val="28"/>
        </w:rPr>
      </w:pPr>
    </w:p>
    <w:p>
      <w:pPr>
        <w:tabs>
          <w:tab w:val="left" w:pos="6645"/>
        </w:tabs>
        <w:spacing w:line="360" w:lineRule="auto"/>
        <w:rPr>
          <w:rFonts w:hint="eastAsia" w:ascii="仿宋_GB2312" w:hAnsi="仿宋_GB2312" w:eastAsia="仿宋_GB2312" w:cs="仿宋_GB2312"/>
          <w:sz w:val="28"/>
          <w:szCs w:val="28"/>
        </w:rPr>
      </w:pPr>
    </w:p>
    <w:p>
      <w:pPr>
        <w:tabs>
          <w:tab w:val="left" w:pos="6645"/>
        </w:tabs>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4</w:t>
      </w:r>
    </w:p>
    <w:p>
      <w:pPr>
        <w:tabs>
          <w:tab w:val="left" w:pos="6645"/>
        </w:tabs>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反商业贿赂承诺书</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二、本厂家、商家、公司保证在药品、医疗器械、设备、物资、基建工程竞标工作及药品、试剂销售等工作中承诺做到：</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1、不与其他投标人相互串通投标报价，损害贵院的合法权益；</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2、不与招标人串通投标，损害国家利益、社会公共利益或他人的合法权益；</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3、不以向招标人或者评标委员会成员行贿的手段谋取中标；</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4、竞标报价不违反相关法律的规定，也不以他人名义投标或者以其他方式弄虚作假，骗取中标；</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5、保证不以其他任何方式扰乱贵院的招标工作；</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6、保证不在药品销售、医疗器械、设备、物资、基建工程竞标中采取账外暗中给予回扣的手段腐蚀、贿赂医护、药剂人员、干部等其他相关人员；</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8、保证不让贵院临床科室、药剂部门以及有关人员登记、统计医生处方或为此提供方便，干扰贵院的正常工作秩序；</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9、保证不以其他任何不正当竞争手段推销药品、医疗器械、设备、物资。</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三、本厂家、商家、公司保证竭力维护贵院的声誉，不做任何有损贵院形象的事情。</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五、对本厂家、商家、公司及本厂家、商家、公司工作人员采取以上手段竞标、促销等，干扰贵院正常工作秩序，损害贵院形象的，本厂家、商家、公司保证：</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1、对尚处在竞标阶段的，贵院有权取消本厂家、商家、公司的竞标资格；已经中标的，贵院有权取消中标；对已经获得准入资格的，贵院有权随时取消本厂家、商家、公司的准入资格；</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2、对本厂家、商家、公司相关工作人员作出严肃处理；</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3、对由于本厂家、商家、公司或本厂家、商家、公司工作人员的上述行为给贵院造成经济或名誉损失的，由本厂家、商家、公司负责，并愿意承担全部民事赔偿责任。</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六、 采购物资名称：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本《承诺书》一式二份（一份由承诺人自存；一份随竞价书传递）</w:t>
      </w:r>
    </w:p>
    <w:p>
      <w:pPr>
        <w:ind w:firstLine="560" w:firstLineChars="20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承诺企业名称（公章）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法人代表或委托代理人（承诺人）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12831"/>
    <w:rsid w:val="34212831"/>
    <w:rsid w:val="438F1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2022-02-16T08:11:00Z</dcterms:created>
  <dc:creator>Elena</dc:creator>
  <cp:lastModifiedBy>Elena</cp:lastModifiedBy>
  <dcterms:modified xsi:type="dcterms:W3CDTF">2022-02-16T08:30:37Z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4E15908700254B389B1399F081CD625C</vt:lpwstr>
  </property>
</Properties>
</file>