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B" w:rsidRDefault="00640C4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26476B" w:rsidRDefault="00640C4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26476B" w:rsidRDefault="0026476B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410"/>
        <w:gridCol w:w="4395"/>
      </w:tblGrid>
      <w:tr w:rsidR="0026476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26476B">
        <w:trPr>
          <w:trHeight w:val="429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t>内镜用口垫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t>用于内镜检查时患者咬住</w:t>
            </w:r>
            <w:proofErr w:type="gramStart"/>
            <w:r>
              <w:t>内镜口垫以</w:t>
            </w:r>
            <w:proofErr w:type="gramEnd"/>
            <w:r>
              <w:t>帮助患者保持口腔打开状态。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普通型头部异物取出钳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用于</w:t>
            </w:r>
            <w:r>
              <w:t>软性内镜</w:t>
            </w:r>
            <w:proofErr w:type="gramStart"/>
            <w:r>
              <w:t>钳道钳</w:t>
            </w:r>
            <w:proofErr w:type="gramEnd"/>
            <w:r>
              <w:t>取胃、食道等消化道内的异物用。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一次性使用活组织取样钳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t>用于通过软性</w:t>
            </w:r>
            <w:proofErr w:type="gramStart"/>
            <w:r>
              <w:t>内镜钳道进入</w:t>
            </w:r>
            <w:proofErr w:type="gramEnd"/>
            <w:r>
              <w:t>人体自然腔道钳取活组织用。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夹子装置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t>用于内窥镜</w:t>
            </w:r>
            <w:r>
              <w:rPr>
                <w:rFonts w:hint="eastAsia"/>
              </w:rPr>
              <w:t>可视情况</w:t>
            </w:r>
            <w:r>
              <w:t>下在</w:t>
            </w:r>
            <w:r>
              <w:rPr>
                <w:rFonts w:hint="eastAsia"/>
              </w:rPr>
              <w:t>上、下</w:t>
            </w:r>
            <w:r>
              <w:t>消化道内放置夹子</w:t>
            </w:r>
            <w:r>
              <w:rPr>
                <w:rFonts w:hint="eastAsia"/>
              </w:rPr>
              <w:t>，对各种原因引起的上、下消化道出血进行机械止血治疗</w:t>
            </w:r>
            <w:r>
              <w:t>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尿碘定量检测试剂盒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用于测定人体尿碘值，适用于各类全自动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半自动生化分析仪。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血糖测试干片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用于定量测量毛细管全血、静脉全血、动脉全血的血糖含量。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新生儿光疗防护眼罩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适用范围适用于婴儿蓝光照射治疗时的眼部防护。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妇洁</w:t>
            </w:r>
            <w:proofErr w:type="gramStart"/>
            <w:r>
              <w:rPr>
                <w:rFonts w:hint="eastAsia"/>
              </w:rPr>
              <w:t>栓</w:t>
            </w:r>
            <w:proofErr w:type="gramEnd"/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对霉菌性、滴虫性、非特异性、妊娠期阴道炎、宫颈炎、宫颈糜烂引起的白带增多、恶臭、阴道瘙痒症有辅助治疗作用。</w:t>
            </w:r>
          </w:p>
        </w:tc>
      </w:tr>
      <w:tr w:rsidR="0026476B">
        <w:trPr>
          <w:trHeight w:val="1167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一次性使用呼吸过滤器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  <w:rPr>
                <w:rFonts w:eastAsia="微软雅黑"/>
              </w:rPr>
            </w:pPr>
            <w:r>
              <w:rPr>
                <w:rFonts w:hint="eastAsia"/>
              </w:rPr>
              <w:t>用于降低患者吸入或呼出颗粒性物质的数量和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或提高输送给呼吸道的气体的水分含量和温度。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proofErr w:type="gramStart"/>
            <w:r>
              <w:rPr>
                <w:rFonts w:hint="eastAsia"/>
              </w:rPr>
              <w:t>一次性口嘴</w:t>
            </w:r>
            <w:proofErr w:type="gramEnd"/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与一次性使用呼吸过滤器配套使用。</w:t>
            </w:r>
          </w:p>
        </w:tc>
      </w:tr>
      <w:tr w:rsidR="0026476B">
        <w:trPr>
          <w:trHeight w:val="332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胰岛素笔式注射器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用于成人糖尿病患者注射胰岛素。</w:t>
            </w:r>
          </w:p>
        </w:tc>
      </w:tr>
      <w:tr w:rsidR="0026476B">
        <w:trPr>
          <w:trHeight w:val="853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一次性使用无菌注射针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pStyle w:val="a5"/>
              <w:widowControl/>
              <w:spacing w:line="345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该产品与专用的胰岛素笔式注射器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如诺和笔</w:t>
            </w:r>
            <w:r>
              <w:rPr>
                <w:rFonts w:hint="eastAsia"/>
                <w:sz w:val="21"/>
              </w:rPr>
              <w:t>(r))</w:t>
            </w:r>
            <w:r>
              <w:rPr>
                <w:rFonts w:hint="eastAsia"/>
                <w:sz w:val="21"/>
              </w:rPr>
              <w:t>和</w:t>
            </w:r>
            <w:proofErr w:type="gramStart"/>
            <w:r>
              <w:rPr>
                <w:rFonts w:hint="eastAsia"/>
                <w:sz w:val="21"/>
              </w:rPr>
              <w:t>预充式胰岛素</w:t>
            </w:r>
            <w:proofErr w:type="gramEnd"/>
            <w:r>
              <w:rPr>
                <w:rFonts w:hint="eastAsia"/>
                <w:sz w:val="21"/>
              </w:rPr>
              <w:t>笔式注射器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如特充</w:t>
            </w:r>
            <w:r>
              <w:rPr>
                <w:rFonts w:hint="eastAsia"/>
                <w:sz w:val="21"/>
              </w:rPr>
              <w:t>(r))</w:t>
            </w:r>
            <w:r>
              <w:rPr>
                <w:rFonts w:hint="eastAsia"/>
                <w:sz w:val="21"/>
              </w:rPr>
              <w:t>配</w:t>
            </w:r>
            <w:r>
              <w:rPr>
                <w:rFonts w:hint="eastAsia"/>
                <w:sz w:val="21"/>
              </w:rPr>
              <w:lastRenderedPageBreak/>
              <w:t>套使用</w:t>
            </w:r>
            <w:r>
              <w:rPr>
                <w:rFonts w:hint="eastAsia"/>
                <w:sz w:val="21"/>
              </w:rPr>
              <w:t>,</w:t>
            </w:r>
            <w:r>
              <w:rPr>
                <w:rFonts w:hint="eastAsia"/>
                <w:sz w:val="21"/>
              </w:rPr>
              <w:t>用于注射胰岛素。</w:t>
            </w:r>
          </w:p>
        </w:tc>
      </w:tr>
      <w:tr w:rsidR="0026476B">
        <w:trPr>
          <w:trHeight w:val="1204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鼻防阻隔剂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适用于提供一般性防护和缓解雾</w:t>
            </w:r>
            <w:proofErr w:type="gramStart"/>
            <w:r>
              <w:rPr>
                <w:rFonts w:hint="eastAsia"/>
              </w:rPr>
              <w:t>霾</w:t>
            </w:r>
            <w:proofErr w:type="gramEnd"/>
            <w:r>
              <w:rPr>
                <w:rFonts w:hint="eastAsia"/>
              </w:rPr>
              <w:t>及过敏</w:t>
            </w:r>
            <w:proofErr w:type="gramStart"/>
            <w:r>
              <w:rPr>
                <w:rFonts w:hint="eastAsia"/>
              </w:rPr>
              <w:t>源通过</w:t>
            </w:r>
            <w:proofErr w:type="gramEnd"/>
            <w:r>
              <w:rPr>
                <w:rFonts w:hint="eastAsia"/>
              </w:rPr>
              <w:t>鼻腔引起反应等症状的辅助预防作用，免受外界的伤害。</w:t>
            </w:r>
          </w:p>
        </w:tc>
      </w:tr>
      <w:tr w:rsidR="0026476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276" w:lineRule="auto"/>
              <w:jc w:val="left"/>
            </w:pPr>
            <w:r>
              <w:rPr>
                <w:rFonts w:hint="eastAsia"/>
              </w:rPr>
              <w:t>口鼻气雾剂给药器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spacing w:line="360" w:lineRule="auto"/>
            </w:pPr>
            <w:r>
              <w:rPr>
                <w:rFonts w:hint="eastAsia"/>
              </w:rPr>
              <w:t>适用于呼吸道深部给药。</w:t>
            </w:r>
          </w:p>
        </w:tc>
      </w:tr>
    </w:tbl>
    <w:p w:rsidR="0026476B" w:rsidRDefault="0026476B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2647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476B" w:rsidRDefault="00640C4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2.1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26476B" w:rsidRDefault="00640C4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6303" w:type="dxa"/>
        <w:tblInd w:w="-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 w:rsidR="0026476B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26476B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26476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6476B" w:rsidRDefault="0026476B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26476B" w:rsidRDefault="00640C4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26476B" w:rsidRDefault="00640C4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26476B" w:rsidRDefault="00640C4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26476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26476B" w:rsidRDefault="00640C4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26476B" w:rsidRDefault="00640C4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26476B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6476B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76B" w:rsidRDefault="00640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476B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6B" w:rsidRDefault="002647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6476B" w:rsidRDefault="00640C4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26476B" w:rsidRDefault="00640C4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26476B" w:rsidRDefault="0026476B"/>
    <w:sectPr w:rsidR="0026476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26476B"/>
    <w:rsid w:val="0032284C"/>
    <w:rsid w:val="003C1099"/>
    <w:rsid w:val="004301D8"/>
    <w:rsid w:val="004B6316"/>
    <w:rsid w:val="004F123C"/>
    <w:rsid w:val="005874D8"/>
    <w:rsid w:val="005A2A06"/>
    <w:rsid w:val="00631543"/>
    <w:rsid w:val="00640C4B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70E7E57"/>
    <w:rsid w:val="08D177C3"/>
    <w:rsid w:val="09076CFD"/>
    <w:rsid w:val="0BF575AA"/>
    <w:rsid w:val="13BE78DE"/>
    <w:rsid w:val="1473155D"/>
    <w:rsid w:val="25B92429"/>
    <w:rsid w:val="27540DFE"/>
    <w:rsid w:val="2BC34039"/>
    <w:rsid w:val="2E2530A8"/>
    <w:rsid w:val="352444BF"/>
    <w:rsid w:val="38E36B7C"/>
    <w:rsid w:val="390302F7"/>
    <w:rsid w:val="3F855F59"/>
    <w:rsid w:val="41852BF7"/>
    <w:rsid w:val="44F00DE7"/>
    <w:rsid w:val="46EC5E9F"/>
    <w:rsid w:val="4B184AEF"/>
    <w:rsid w:val="4D765AC4"/>
    <w:rsid w:val="4E5B344C"/>
    <w:rsid w:val="4F162DFA"/>
    <w:rsid w:val="51BC63A3"/>
    <w:rsid w:val="525C6EC0"/>
    <w:rsid w:val="546C11D1"/>
    <w:rsid w:val="57560D05"/>
    <w:rsid w:val="5E7F3009"/>
    <w:rsid w:val="601B24D2"/>
    <w:rsid w:val="603D7B39"/>
    <w:rsid w:val="640B4FB5"/>
    <w:rsid w:val="65654809"/>
    <w:rsid w:val="68757197"/>
    <w:rsid w:val="69614300"/>
    <w:rsid w:val="6B9507CF"/>
    <w:rsid w:val="6C611C93"/>
    <w:rsid w:val="773151C9"/>
    <w:rsid w:val="7A114C0E"/>
    <w:rsid w:val="7B58021D"/>
    <w:rsid w:val="7B5C53AE"/>
    <w:rsid w:val="7C277F07"/>
    <w:rsid w:val="7CDE0F8B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167</Words>
  <Characters>952</Characters>
  <Application>Microsoft Office Word</Application>
  <DocSecurity>0</DocSecurity>
  <Lines>7</Lines>
  <Paragraphs>2</Paragraphs>
  <ScaleCrop>false</ScaleCrop>
  <Company>四川省妇幼保健院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21</cp:revision>
  <dcterms:created xsi:type="dcterms:W3CDTF">2014-10-29T12:08:00Z</dcterms:created>
  <dcterms:modified xsi:type="dcterms:W3CDTF">2022-02-21T03:24:00Z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09368DB97C384993A2047C28E1F1552E</vt:lpwstr>
  </property>
</Properties>
</file>