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276" w:lineRule="auto"/>
        <w:ind w:left="-283" w:leftChars="-135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附件1:</w:t>
      </w:r>
    </w:p>
    <w:p>
      <w:pPr>
        <w:widowControl/>
        <w:shd w:val="clear" w:color="auto" w:fill="FFFFFF"/>
        <w:tabs>
          <w:tab w:val="left" w:pos="142"/>
        </w:tabs>
        <w:spacing w:line="276" w:lineRule="auto"/>
        <w:ind w:left="-283" w:leftChars="-135" w:right="-340" w:rightChars="-162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采购项目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lang w:eastAsia="zh-CN"/>
        </w:rPr>
        <w:t>技术</w:t>
      </w:r>
      <w:bookmarkStart w:id="1" w:name="_GoBack"/>
      <w:bookmarkEnd w:id="1"/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要求</w:t>
      </w:r>
    </w:p>
    <w:p>
      <w:pPr>
        <w:widowControl/>
        <w:shd w:val="clear" w:color="auto" w:fill="FFFFFF"/>
        <w:wordWrap w:val="0"/>
        <w:spacing w:line="276" w:lineRule="auto"/>
        <w:ind w:left="-283" w:leftChars="-135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1.维保设备基本情况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hint="eastAsia" w:eastAsia="宋体" w:cs="Segoe UI" w:asciiTheme="minorEastAsia" w:hAnsi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1.1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eastAsia="zh-CN"/>
        </w:rPr>
        <w:t>设备名称：</w:t>
      </w:r>
      <w:r>
        <w:rPr>
          <w:rFonts w:ascii="宋体" w:hAnsi="宋体" w:eastAsia="宋体" w:cs="宋体"/>
          <w:sz w:val="24"/>
          <w:szCs w:val="24"/>
          <w:u w:val="none"/>
        </w:rPr>
        <w:fldChar w:fldCharType="begin"/>
      </w:r>
      <w:r>
        <w:rPr>
          <w:rFonts w:ascii="宋体" w:hAnsi="宋体" w:eastAsia="宋体" w:cs="宋体"/>
          <w:sz w:val="24"/>
          <w:szCs w:val="24"/>
          <w:u w:val="none"/>
        </w:rPr>
        <w:instrText xml:space="preserve"> HYPERLINK "http://192.168.250.201/trakcare/trak/web/csp/websys.default.csp?WEBSYS.TCOMPONENT=DHCEQEquipList&amp;Data=^No=^Name=^Code=^UseLocDR=452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" </w:instrText>
      </w:r>
      <w:r>
        <w:rPr>
          <w:rFonts w:ascii="宋体" w:hAnsi="宋体" w:eastAsia="宋体" w:cs="宋体"/>
          <w:sz w:val="24"/>
          <w:szCs w:val="24"/>
          <w:u w:val="none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  <w:u w:val="none"/>
        </w:rPr>
        <w:t>数字化平板乳腺(DR)</w:t>
      </w:r>
      <w:r>
        <w:rPr>
          <w:rFonts w:ascii="宋体" w:hAnsi="宋体" w:eastAsia="宋体" w:cs="宋体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，设备型号：</w:t>
      </w:r>
      <w:r>
        <w:rPr>
          <w:rFonts w:ascii="宋体" w:hAnsi="宋体" w:eastAsia="宋体" w:cs="宋体"/>
          <w:sz w:val="24"/>
          <w:szCs w:val="24"/>
        </w:rPr>
        <w:t>ASY-01427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服务范围：要求提供全保服务，包含主机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eastAsia="zh-CN"/>
        </w:rPr>
        <w:t>、探测器、压迫板及工作站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维保时间：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年（以合同签订时间为准）。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bCs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bCs/>
          <w:color w:val="333333"/>
          <w:kern w:val="0"/>
          <w:sz w:val="24"/>
          <w:szCs w:val="24"/>
        </w:rPr>
        <w:t>2.维保服务技术要求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*2.1开机率保证：≥95％(以365天/年计算)；开机率≤95%时，每超过壹天则顺延两天保修期；开机率低于≤90%时，完全停机时间每超过壹天则顺延两天保修期。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bCs/>
          <w:color w:val="333333"/>
          <w:kern w:val="0"/>
          <w:sz w:val="24"/>
          <w:szCs w:val="24"/>
        </w:rPr>
        <w:t>2.2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每年提供4次维护保养服务，一般情况下一季度保养一次，一般安排在每年的1、4、7、10月份,但院方有权调整保养时间,维保公司应予以配合执行。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*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2.3维护保养内容包括：校正服务，包括设备安全性能检查、除尘保养、运行状态检查等，确保设备始终处于正常工作状态。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2.4每次保养或维修后必须提供规范完整的服务报告，报告须体现保养或维修内容，该报告必须三方（维保公司、功能科室、医学装备部）相关人员签字认可。报告一式两份，医院和维保公司各执一份。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2.5维保公司提供预防性维护保养服务，时间以配合临床工作时间为主，可预约安排在非工作时间。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2.6维保包含所有设备无限次技术服务及所有配件更换，保证维修后的设备符合厂家设计标准和相应的国家质量标准要求。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*2.7响应时间保证：支持全年每天24小时全天候服务。接到客户关于设备或其中部件的运行故障的报修电话，维修工程师必须在30分钟内响应；如需现场维修，服务工程师4小时到场维修。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*2.8如设备不涉及零配件更换，应在1日内维护完毕；如涉及到零配件更换，应在3日内完成，并提供备用探头或备机供科室使用。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*2.9备件来源要求：更换的零部件必须为原厂备件，须提供备件进口报关单复印件或提供本公司的海关报关注册证，并加盖公司鲜章以资证明。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*2.10维保公司维修过程中必须保证所保设备所有配件、设施的安全性，不能使故障范围扩大或造成不可挽回的损失。如若出现上述情形，医院有权单方面中止合同，并且有权追究维保公司赔偿。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2.11对设备使用人员或维修人员免费提供应用培训。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24"/>
          <w:szCs w:val="24"/>
        </w:rPr>
        <w:t>注：“*”条款参数</w:t>
      </w:r>
      <w:r>
        <w:rPr>
          <w:rFonts w:hint="eastAsia" w:ascii="宋体" w:hAnsi="宋体" w:cs="宋体"/>
          <w:b/>
          <w:kern w:val="0"/>
          <w:sz w:val="24"/>
          <w:szCs w:val="24"/>
        </w:rPr>
        <w:t>响应须提供加盖公司鲜章承诺函，否则视为不满足此条款。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采购文件书装订顺序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1．封面（公司、项目、联系人、联系方式）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2．目录（</w:t>
      </w:r>
      <w:r>
        <w:rPr>
          <w:rFonts w:hint="eastAsia" w:cs="Segoe UI" w:asciiTheme="minorEastAsia" w:hAnsiTheme="minorEastAsia"/>
          <w:b/>
          <w:color w:val="333333"/>
          <w:kern w:val="0"/>
          <w:sz w:val="24"/>
          <w:szCs w:val="24"/>
        </w:rPr>
        <w:t>标记页码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3．品目及报价表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4．配置及偏离表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5．营业执照（复印件）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6．法定代表人授权书（原件）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7．提供维保服务实施方案（包括保养、维修等）详细说明，并且提供工程师数量配置及相关资质证明材料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8．业绩证明材料：维保公司提供201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年以来省内三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eastAsia="zh-CN"/>
        </w:rPr>
        <w:t>级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医疗机构维保服务客户名单，有相关发票或合同复印件方为有效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9．封底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注：请务必按以上顺序</w:t>
      </w:r>
      <w:r>
        <w:rPr>
          <w:rFonts w:hint="eastAsia" w:cs="Segoe UI" w:asciiTheme="minorEastAsia" w:hAnsiTheme="minorEastAsia"/>
          <w:b/>
          <w:color w:val="333333"/>
          <w:kern w:val="0"/>
          <w:sz w:val="24"/>
          <w:szCs w:val="24"/>
        </w:rPr>
        <w:t>封胶装订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资料，如有非中文资料，请同时提供中文翻译件。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：</w:t>
      </w: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主要表格格式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品目及报价表</w:t>
      </w:r>
    </w:p>
    <w:tbl>
      <w:tblPr>
        <w:tblStyle w:val="10"/>
        <w:tblW w:w="8931" w:type="dxa"/>
        <w:tblInd w:w="-17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846"/>
        <w:gridCol w:w="1256"/>
        <w:gridCol w:w="1129"/>
        <w:gridCol w:w="1017"/>
        <w:gridCol w:w="1276"/>
        <w:gridCol w:w="141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品牌/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单位及数量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服务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年限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成交单价（元）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成交总价（元）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注：“品目及报价表”为多页的，每页均需由法定代表人或授权代表签字并盖投标人印章。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供应商名称（盖章）：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法定代表人或授权代表（签字）：　　　　　　　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2"/>
          <w:szCs w:val="32"/>
        </w:rPr>
        <w:t>配置及偏离表</w:t>
      </w:r>
    </w:p>
    <w:tbl>
      <w:tblPr>
        <w:tblStyle w:val="10"/>
        <w:tblW w:w="8953" w:type="dxa"/>
        <w:jc w:val="center"/>
        <w:tblInd w:w="-1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299"/>
        <w:gridCol w:w="2299"/>
        <w:gridCol w:w="31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偏离及其影响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1.此表要求投标文件与招标文件要求一一对应、逐一列出。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2．投标文件中与招标文件要求有负偏离的内容必须在此表中列出，否则视为无效投标。供应商必须据实填写，不得虚假响应，否则投标无效并按规定追究其相关责任。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法定代表人或授权代表签字：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日期: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bookmarkStart w:id="0" w:name="_Toc95295163"/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法定代表人身份授权书</w:t>
      </w:r>
      <w:bookmarkEnd w:id="0"/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四川省妇幼保健院：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573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（投标人名称）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u w:val="single"/>
        </w:rPr>
        <w:t>（法定代表人姓名、职务）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授权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u w:val="single"/>
        </w:rPr>
        <w:t>（被授权人姓名、职务）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为我方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u w:val="single"/>
        </w:rPr>
        <w:t>“ ”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 w:firstLineChars="20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特此声明。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投标人名称（盖章）：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法定代表人签字：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授权代表签字：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★说明：上述证明文件附有法定代表人、被授权代表身份证复印件（盖章）时才能生效。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  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用户情况表</w:t>
      </w:r>
    </w:p>
    <w:tbl>
      <w:tblPr>
        <w:tblStyle w:val="10"/>
        <w:tblW w:w="8901" w:type="dxa"/>
        <w:jc w:val="center"/>
        <w:tblInd w:w="-1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1417"/>
        <w:gridCol w:w="992"/>
        <w:gridCol w:w="851"/>
        <w:gridCol w:w="165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法定代表人或授权代表签字：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</w:t>
      </w:r>
      <w:r>
        <w:rPr>
          <w:rFonts w:hint="eastAsia" w:cs="Segoe UI" w:asciiTheme="minorEastAsia" w:hAnsiTheme="minorEastAsia"/>
          <w:b/>
          <w:bCs/>
          <w:color w:val="333333"/>
          <w:kern w:val="0"/>
          <w:sz w:val="24"/>
          <w:szCs w:val="24"/>
        </w:rPr>
        <w:t>: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四川省妇幼保健院反商业贿赂承诺书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1.不与其他投标人相互串通投标报价，损害贵院的合法权益；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2.不与招标人串通投标，损害国家利益、社会公共利益或他人的合法权益；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3.不以向招标人或者评标委员会成员行贿的手段谋取中标；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5.保证不以其他任何方式扰乱贵院的招标工作；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9.保证不以其他任何不正当竞争手段推销药品、医疗器械、设备、物资。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2.对本厂家、商家、公司相关工作人员作出严肃处理；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六、维保服务设备名称及规格型号：</w:t>
      </w:r>
      <w:r>
        <w:rPr>
          <w:rFonts w:ascii="宋体" w:hAnsi="宋体" w:eastAsia="宋体" w:cs="宋体"/>
          <w:sz w:val="24"/>
          <w:szCs w:val="24"/>
          <w:u w:val="none"/>
        </w:rPr>
        <w:fldChar w:fldCharType="begin"/>
      </w:r>
      <w:r>
        <w:rPr>
          <w:rFonts w:ascii="宋体" w:hAnsi="宋体" w:eastAsia="宋体" w:cs="宋体"/>
          <w:sz w:val="24"/>
          <w:szCs w:val="24"/>
          <w:u w:val="none"/>
        </w:rPr>
        <w:instrText xml:space="preserve"> HYPERLINK "http://192.168.250.201/trakcare/trak/web/csp/websys.default.csp?WEBSYS.TCOMPONENT=DHCEQEquipList&amp;Data=^No=^Name=^Code=^UseLocDR=452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" </w:instrText>
      </w:r>
      <w:r>
        <w:rPr>
          <w:rFonts w:ascii="宋体" w:hAnsi="宋体" w:eastAsia="宋体" w:cs="宋体"/>
          <w:sz w:val="24"/>
          <w:szCs w:val="24"/>
          <w:u w:val="none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  <w:u w:val="none"/>
        </w:rPr>
        <w:t>数字化平板乳腺(DR)</w:t>
      </w:r>
      <w:r>
        <w:rPr>
          <w:rFonts w:ascii="宋体" w:hAnsi="宋体" w:eastAsia="宋体" w:cs="宋体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:</w:t>
      </w:r>
      <w:r>
        <w:rPr>
          <w:rFonts w:ascii="宋体" w:hAnsi="宋体" w:eastAsia="宋体" w:cs="宋体"/>
          <w:sz w:val="24"/>
          <w:szCs w:val="24"/>
        </w:rPr>
        <w:t>ASY-01427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12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承诺企业名称（盖章）：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法人代表或委托代理人（承诺人）：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B7131"/>
    <w:rsid w:val="1FBC77AD"/>
    <w:rsid w:val="23CD32D3"/>
    <w:rsid w:val="421A345E"/>
    <w:rsid w:val="43221F6B"/>
    <w:rsid w:val="47561999"/>
    <w:rsid w:val="4BF77D08"/>
    <w:rsid w:val="70377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qFormat/>
    <w:uiPriority w:val="0"/>
    <w:rPr>
      <w:u w:val="singl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  <w:style w:type="character" w:customStyle="1" w:styleId="11">
    <w:name w:val="hover12"/>
    <w:basedOn w:val="2"/>
    <w:qFormat/>
    <w:uiPriority w:val="0"/>
    <w:rPr>
      <w:shd w:val="clear" w:fill="DEECFD"/>
    </w:rPr>
  </w:style>
  <w:style w:type="character" w:customStyle="1" w:styleId="12">
    <w:name w:val="x-tab-strip-text"/>
    <w:basedOn w:val="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3">
    <w:name w:val="x-tab-strip-text1"/>
    <w:basedOn w:val="2"/>
    <w:qFormat/>
    <w:uiPriority w:val="0"/>
  </w:style>
  <w:style w:type="character" w:customStyle="1" w:styleId="14">
    <w:name w:val="x-tab-strip-text2"/>
    <w:basedOn w:val="2"/>
    <w:qFormat/>
    <w:uiPriority w:val="0"/>
  </w:style>
  <w:style w:type="character" w:customStyle="1" w:styleId="15">
    <w:name w:val="x-tab-strip-text3"/>
    <w:basedOn w:val="2"/>
    <w:qFormat/>
    <w:uiPriority w:val="0"/>
    <w:rPr>
      <w:b/>
      <w:color w:val="15428B"/>
    </w:rPr>
  </w:style>
  <w:style w:type="character" w:customStyle="1" w:styleId="16">
    <w:name w:val="x-tab-strip-text4"/>
    <w:basedOn w:val="2"/>
    <w:qFormat/>
    <w:uiPriority w:val="0"/>
  </w:style>
  <w:style w:type="character" w:customStyle="1" w:styleId="17">
    <w:name w:val="x-tab-strip-text5"/>
    <w:basedOn w:val="2"/>
    <w:qFormat/>
    <w:uiPriority w:val="0"/>
    <w:rPr>
      <w:color w:val="15428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sbk</cp:lastModifiedBy>
  <dcterms:modified xsi:type="dcterms:W3CDTF">2022-02-24T03:19:21Z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