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产前专用细胞培养基（第二批）</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000000"/>
                <w:sz w:val="21"/>
                <w:szCs w:val="21"/>
                <w:lang w:val="en-US" w:eastAsia="zh-CN"/>
              </w:rPr>
            </w:pPr>
            <w:r>
              <w:rPr>
                <w:rFonts w:hint="eastAsia" w:ascii="仿宋" w:hAnsi="仿宋" w:eastAsia="仿宋" w:cs="仿宋"/>
                <w:sz w:val="21"/>
                <w:szCs w:val="21"/>
                <w:lang w:val="en-US" w:eastAsia="zh-CN"/>
              </w:rPr>
              <w:t>羊水细胞培养基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348</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用途：用于羊水细胞培养，仅用于细胞增殖培养，不具备对细胞的选择、诱导、分化功能，培养后的细胞用于体外诊断；</w:t>
            </w:r>
            <w:bookmarkStart w:id="1" w:name="_GoBack"/>
            <w:bookmarkEnd w:id="1"/>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1.装量差异限度∶±3%；</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2.外观∶澄清液体；</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3.pH值∶7.0-7.5；</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4.渗透压（mOsm/kg）∶280-330；</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5.微生物∶无菌；</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6.内毒素（EU/ml）∶&lt;10；</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*7.羊水细胞生长实验∶细胞倍增指数＞2；</w:t>
            </w:r>
          </w:p>
          <w:p>
            <w:pPr>
              <w:jc w:val="both"/>
              <w:rPr>
                <w:rFonts w:hint="eastAsia" w:ascii="仿宋" w:hAnsi="仿宋" w:eastAsia="仿宋" w:cs="仿宋"/>
                <w:color w:val="000000"/>
                <w:kern w:val="0"/>
                <w:sz w:val="21"/>
                <w:szCs w:val="21"/>
                <w:lang w:eastAsia="zh-CN"/>
              </w:rPr>
            </w:pP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本采购项目仅按照100ml/瓶规格进行价格评分，其他规格价格不作价格评分</w:t>
            </w:r>
            <w:r>
              <w:rPr>
                <w:rFonts w:hint="eastAsia" w:ascii="宋体" w:hAnsi="宋体" w:eastAsia="宋体" w:cs="宋体"/>
                <w:kern w:val="0"/>
                <w:sz w:val="18"/>
                <w:szCs w:val="18"/>
              </w:rPr>
              <w:t>；</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32</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非“*”条款技术参数不满足招标文件要求（负偏离），一次扣4分，“*”条款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23</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最多14分。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5</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r>
              <w:rPr>
                <w:rFonts w:hint="eastAsia" w:ascii="宋体" w:hAnsi="宋体" w:eastAsia="宋体" w:cs="Segoe UI"/>
                <w:color w:val="000000"/>
                <w:kern w:val="0"/>
                <w:sz w:val="18"/>
                <w:szCs w:val="18"/>
                <w:lang w:val="en-US" w:eastAsia="zh-CN"/>
              </w:rPr>
              <w:t>每提供一项得2分，最多得10分。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5</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F285070"/>
    <w:rsid w:val="0F2B2192"/>
    <w:rsid w:val="135D53CE"/>
    <w:rsid w:val="14C56B2E"/>
    <w:rsid w:val="16526B10"/>
    <w:rsid w:val="16E75BCE"/>
    <w:rsid w:val="17A4687A"/>
    <w:rsid w:val="182C7847"/>
    <w:rsid w:val="1A543468"/>
    <w:rsid w:val="1C063229"/>
    <w:rsid w:val="1D617858"/>
    <w:rsid w:val="208D33E5"/>
    <w:rsid w:val="20FA2EB7"/>
    <w:rsid w:val="21F33882"/>
    <w:rsid w:val="254802B2"/>
    <w:rsid w:val="25AA75E5"/>
    <w:rsid w:val="268741DA"/>
    <w:rsid w:val="268A4DCB"/>
    <w:rsid w:val="29D753F9"/>
    <w:rsid w:val="2CBD5BC5"/>
    <w:rsid w:val="2E190D0A"/>
    <w:rsid w:val="2ED90F07"/>
    <w:rsid w:val="2FC20E9A"/>
    <w:rsid w:val="38460DD4"/>
    <w:rsid w:val="39BB5D57"/>
    <w:rsid w:val="3AB015EA"/>
    <w:rsid w:val="3BFD3F92"/>
    <w:rsid w:val="3C282466"/>
    <w:rsid w:val="3D800344"/>
    <w:rsid w:val="419B0A01"/>
    <w:rsid w:val="459204D8"/>
    <w:rsid w:val="46E05B05"/>
    <w:rsid w:val="4706758F"/>
    <w:rsid w:val="4787628A"/>
    <w:rsid w:val="48D100B1"/>
    <w:rsid w:val="490F6C51"/>
    <w:rsid w:val="494F050B"/>
    <w:rsid w:val="4F755684"/>
    <w:rsid w:val="520A1FCA"/>
    <w:rsid w:val="550C45FF"/>
    <w:rsid w:val="564D06AC"/>
    <w:rsid w:val="59106C36"/>
    <w:rsid w:val="5B761B58"/>
    <w:rsid w:val="5D941B7D"/>
    <w:rsid w:val="5EFA5D61"/>
    <w:rsid w:val="5F294D59"/>
    <w:rsid w:val="60716921"/>
    <w:rsid w:val="628D0298"/>
    <w:rsid w:val="62F67D93"/>
    <w:rsid w:val="65F26020"/>
    <w:rsid w:val="66116446"/>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4</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2022-03-03T02:35:53Z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