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spacing w:line="600" w:lineRule="exact"/>
        <w:jc w:val="left"/>
        <w:rPr>
          <w:rFonts w:ascii="仿宋" w:hAnsi="仿宋" w:eastAsia="仿宋" w:cs="Segoe UI"/>
          <w:color w:val="333333"/>
          <w:spacing w:val="8"/>
          <w:kern w:val="0"/>
          <w:sz w:val="32"/>
          <w:szCs w:val="32"/>
        </w:rPr>
      </w:pPr>
      <w:r>
        <w:rPr>
          <w:rFonts w:hint="eastAsia" w:ascii="仿宋" w:hAnsi="仿宋" w:eastAsia="仿宋" w:cs="Segoe UI"/>
          <w:color w:val="333333"/>
          <w:spacing w:val="8"/>
          <w:kern w:val="0"/>
          <w:sz w:val="32"/>
          <w:szCs w:val="32"/>
        </w:rPr>
        <w:t>1.产品名称：医用超声耦合剂</w:t>
      </w:r>
    </w:p>
    <w:p>
      <w:pPr>
        <w:widowControl/>
        <w:shd w:val="clear" w:color="auto" w:fill="FFFFFF"/>
        <w:spacing w:line="600" w:lineRule="exact"/>
        <w:jc w:val="left"/>
        <w:rPr>
          <w:rFonts w:ascii="仿宋" w:hAnsi="仿宋" w:eastAsia="仿宋" w:cs="Segoe UI"/>
          <w:color w:val="333333"/>
          <w:spacing w:val="8"/>
          <w:kern w:val="0"/>
          <w:sz w:val="32"/>
          <w:szCs w:val="32"/>
        </w:rPr>
      </w:pPr>
      <w:r>
        <w:rPr>
          <w:rFonts w:hint="eastAsia" w:ascii="仿宋" w:hAnsi="仿宋" w:eastAsia="仿宋" w:cs="Segoe UI"/>
          <w:color w:val="333333"/>
          <w:spacing w:val="8"/>
          <w:kern w:val="0"/>
          <w:sz w:val="32"/>
          <w:szCs w:val="32"/>
        </w:rPr>
        <w:t>2.数量：详见产品年度预计用量</w:t>
      </w:r>
    </w:p>
    <w:p>
      <w:pPr>
        <w:widowControl/>
        <w:shd w:val="clear" w:color="auto" w:fill="FFFFFF"/>
        <w:spacing w:line="600" w:lineRule="exact"/>
        <w:jc w:val="left"/>
        <w:rPr>
          <w:rFonts w:ascii="仿宋" w:hAnsi="仿宋" w:eastAsia="仿宋" w:cs="Segoe UI"/>
          <w:color w:val="333333"/>
          <w:spacing w:val="8"/>
          <w:kern w:val="0"/>
          <w:sz w:val="32"/>
          <w:szCs w:val="32"/>
        </w:rPr>
      </w:pPr>
      <w:r>
        <w:rPr>
          <w:rFonts w:hint="eastAsia" w:ascii="仿宋" w:hAnsi="仿宋" w:eastAsia="仿宋" w:cs="Segoe UI"/>
          <w:color w:val="333333"/>
          <w:spacing w:val="8"/>
          <w:kern w:val="0"/>
          <w:sz w:val="32"/>
          <w:szCs w:val="32"/>
        </w:rPr>
        <w:t>3.技术参数要求：</w:t>
      </w:r>
    </w:p>
    <w:tbl>
      <w:tblPr>
        <w:tblStyle w:val="5"/>
        <w:tblW w:w="9640" w:type="dxa"/>
        <w:tblInd w:w="-846" w:type="dxa"/>
        <w:tblLayout w:type="autofit"/>
        <w:tblCellMar>
          <w:top w:w="0" w:type="dxa"/>
          <w:left w:w="0" w:type="dxa"/>
          <w:bottom w:w="0" w:type="dxa"/>
          <w:right w:w="0" w:type="dxa"/>
        </w:tblCellMar>
      </w:tblPr>
      <w:tblGrid>
        <w:gridCol w:w="709"/>
        <w:gridCol w:w="1418"/>
        <w:gridCol w:w="1134"/>
        <w:gridCol w:w="6379"/>
      </w:tblGrid>
      <w:tr>
        <w:tblPrEx>
          <w:tblCellMar>
            <w:top w:w="0" w:type="dxa"/>
            <w:left w:w="0" w:type="dxa"/>
            <w:bottom w:w="0" w:type="dxa"/>
            <w:right w:w="0" w:type="dxa"/>
          </w:tblCellMar>
        </w:tblPrEx>
        <w:trPr>
          <w:trHeight w:val="47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年度预计用量(个)</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238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医用超声耦合剂</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left="360" w:hanging="36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15000</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300" w:lineRule="auto"/>
              <w:ind w:left="360" w:hanging="36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1.产品规格</w:t>
            </w:r>
          </w:p>
          <w:p>
            <w:pPr>
              <w:widowControl/>
              <w:spacing w:line="300" w:lineRule="auto"/>
              <w:ind w:left="360" w:hanging="36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250g</w:t>
            </w:r>
          </w:p>
          <w:p>
            <w:pPr>
              <w:widowControl/>
              <w:spacing w:line="300" w:lineRule="auto"/>
              <w:ind w:left="360" w:hanging="36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2.外观</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应为无色或浅色透明凝胶状、无或仅有少量气泡，无不溶性异物。</w:t>
            </w:r>
          </w:p>
          <w:p>
            <w:pPr>
              <w:widowControl/>
              <w:spacing w:line="300" w:lineRule="auto"/>
              <w:ind w:left="360" w:hanging="36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3.性能</w:t>
            </w:r>
          </w:p>
          <w:p>
            <w:pPr>
              <w:widowControl/>
              <w:spacing w:line="300" w:lineRule="auto"/>
              <w:ind w:left="360" w:hanging="36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3.1声速（35℃）：1520~1620m/s</w:t>
            </w:r>
          </w:p>
          <w:p>
            <w:pPr>
              <w:widowControl/>
              <w:spacing w:line="300" w:lineRule="auto"/>
              <w:ind w:left="360" w:hanging="36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3.2声特性阻抗（35℃）：1.5~1.6×106Pa·s/m</w:t>
            </w:r>
          </w:p>
          <w:p>
            <w:pPr>
              <w:widowControl/>
              <w:spacing w:line="300" w:lineRule="auto"/>
              <w:ind w:left="360" w:hanging="36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3.3声衰减系数斜率（35℃）：≤0.1dB/(cm·MHz)</w:t>
            </w:r>
          </w:p>
          <w:p>
            <w:pPr>
              <w:widowControl/>
              <w:spacing w:line="300" w:lineRule="auto"/>
              <w:ind w:left="360" w:hanging="36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3.4粘度（25℃）：无</w:t>
            </w:r>
          </w:p>
          <w:p>
            <w:pPr>
              <w:widowControl/>
              <w:spacing w:line="300" w:lineRule="auto"/>
              <w:ind w:left="360" w:hanging="36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3.5 PH值：5.5~8.0</w:t>
            </w:r>
          </w:p>
          <w:p>
            <w:pPr>
              <w:widowControl/>
              <w:spacing w:line="300" w:lineRule="auto"/>
              <w:ind w:left="360" w:hanging="36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4.稳定性</w:t>
            </w:r>
          </w:p>
          <w:p>
            <w:pPr>
              <w:widowControl/>
              <w:spacing w:line="30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在制造商规定的有效期内、符合正常存放条件下，产品不得出现分层、霉变和异味。</w:t>
            </w:r>
          </w:p>
        </w:tc>
      </w:tr>
      <w:tr>
        <w:tblPrEx>
          <w:tblCellMar>
            <w:top w:w="0" w:type="dxa"/>
            <w:left w:w="0" w:type="dxa"/>
            <w:bottom w:w="0" w:type="dxa"/>
            <w:right w:w="0" w:type="dxa"/>
          </w:tblCellMar>
        </w:tblPrEx>
        <w:trPr>
          <w:trHeight w:val="238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 w:val="24"/>
                <w:szCs w:val="24"/>
              </w:rPr>
              <w:t>消毒型医用超声耦合剂</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2200</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1.产品规格</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提供多种规格至少包括12~20g、250g等。</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2.外观</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应为无色或浅色透明凝胶状、无或仅有少量气泡，无不溶性异物。</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3.性能</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3.1声速（35℃）：1520~1620m/s</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3.2声特性阻抗（35℃）：1.5~1.6×106Pa·s/m</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3.3声衰减系数斜率（35℃）：≤0.1dB/(cm·MHz)</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3.4粘度（25℃）：无</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3.5 PH值：5.5~8.0</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4.稳定性</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在制造商规定的有效期内、符合正常存放条件下，产品不得出现分层、霉变和异味。</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5.消毒物质成分及其含量</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三氯羟基二苯醚（0.1%~0.3%）</w:t>
            </w:r>
          </w:p>
          <w:p>
            <w:pPr>
              <w:widowControl/>
              <w:spacing w:line="30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6.微生物指标</w:t>
            </w:r>
          </w:p>
          <w:p>
            <w:pPr>
              <w:widowControl/>
              <w:spacing w:line="30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产品的细菌菌落总数≤200Cfu/g（ml），真菌菌落总数≤100Cfu/g（ml）。产品中不得检出大肠菌群、绿脓杆菌、金黄色葡萄球菌与溶血性链球菌。</w:t>
            </w:r>
          </w:p>
        </w:tc>
      </w:tr>
      <w:tr>
        <w:tblPrEx>
          <w:tblCellMar>
            <w:top w:w="0" w:type="dxa"/>
            <w:left w:w="0" w:type="dxa"/>
            <w:bottom w:w="0" w:type="dxa"/>
            <w:right w:w="0" w:type="dxa"/>
          </w:tblCellMar>
        </w:tblPrEx>
        <w:trPr>
          <w:trHeight w:val="2385" w:hRule="atLeast"/>
        </w:trPr>
        <w:tc>
          <w:tcPr>
            <w:tcW w:w="709" w:type="dxa"/>
            <w:tcBorders>
              <w:top w:val="single" w:color="000000" w:sz="4" w:space="0"/>
              <w:left w:val="single" w:color="000000" w:sz="4" w:space="0"/>
              <w:bottom w:val="single" w:color="auto" w:sz="4" w:space="0"/>
              <w:right w:val="single" w:color="000000" w:sz="4" w:space="0"/>
            </w:tcBorders>
            <w:vAlign w:val="center"/>
          </w:tcPr>
          <w:p>
            <w:pPr>
              <w:autoSpaceDE w:val="0"/>
              <w:autoSpaceDN w:val="0"/>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418"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杀菌性</w:t>
            </w:r>
            <w:r>
              <w:rPr>
                <w:rFonts w:hint="eastAsia" w:ascii="仿宋" w:hAnsi="仿宋" w:eastAsia="仿宋" w:cs="宋体"/>
                <w:color w:val="000000"/>
                <w:kern w:val="0"/>
                <w:sz w:val="24"/>
                <w:szCs w:val="24"/>
                <w:lang w:eastAsia="zh-CN"/>
              </w:rPr>
              <w:t>医用</w:t>
            </w:r>
            <w:r>
              <w:rPr>
                <w:rFonts w:hint="eastAsia" w:ascii="仿宋" w:hAnsi="仿宋" w:eastAsia="仿宋" w:cs="宋体"/>
                <w:color w:val="000000"/>
                <w:kern w:val="0"/>
                <w:sz w:val="24"/>
                <w:szCs w:val="24"/>
              </w:rPr>
              <w:t>超声</w:t>
            </w:r>
            <w:r>
              <w:rPr>
                <w:rFonts w:hint="eastAsia" w:ascii="仿宋" w:hAnsi="仿宋" w:eastAsia="仿宋" w:cs="宋体"/>
                <w:color w:val="000000"/>
                <w:kern w:val="0"/>
                <w:sz w:val="24"/>
                <w:szCs w:val="24"/>
                <w:lang w:eastAsia="zh-CN"/>
              </w:rPr>
              <w:t>耦合剂</w:t>
            </w:r>
          </w:p>
        </w:tc>
        <w:tc>
          <w:tcPr>
            <w:tcW w:w="113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100</w:t>
            </w:r>
          </w:p>
        </w:tc>
        <w:tc>
          <w:tcPr>
            <w:tcW w:w="6379"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pStyle w:val="4"/>
              <w:keepNext w:val="0"/>
              <w:keepLines w:val="0"/>
              <w:widowControl/>
              <w:numPr>
                <w:ilvl w:val="0"/>
                <w:numId w:val="0"/>
              </w:numPr>
              <w:suppressLineNumbers w:val="0"/>
              <w:spacing w:before="0" w:beforeAutospacing="0" w:after="0" w:afterAutospacing="0"/>
              <w:ind w:leftChars="0" w:right="0" w:rightChars="0"/>
              <w:jc w:val="left"/>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1.产品规格</w:t>
            </w:r>
          </w:p>
          <w:p>
            <w:pPr>
              <w:numPr>
                <w:ilvl w:val="0"/>
                <w:numId w:val="0"/>
              </w:numPr>
              <w:spacing w:line="276" w:lineRule="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12~20g等规格。</w:t>
            </w:r>
          </w:p>
          <w:p>
            <w:pPr>
              <w:pStyle w:val="4"/>
              <w:keepNext w:val="0"/>
              <w:keepLines w:val="0"/>
              <w:widowControl/>
              <w:suppressLineNumbers w:val="0"/>
              <w:spacing w:before="0" w:beforeAutospacing="0" w:after="0" w:afterAutospacing="0"/>
              <w:ind w:left="0" w:right="0" w:firstLine="0"/>
              <w:jc w:val="left"/>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2.外观</w:t>
            </w:r>
          </w:p>
          <w:p>
            <w:pPr>
              <w:pStyle w:val="4"/>
              <w:keepNext w:val="0"/>
              <w:keepLines w:val="0"/>
              <w:widowControl/>
              <w:suppressLineNumbers w:val="0"/>
              <w:spacing w:before="0" w:beforeAutospacing="0" w:after="0" w:afterAutospacing="0"/>
              <w:ind w:left="0" w:right="0" w:firstLine="0"/>
              <w:jc w:val="left"/>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应为无色或浅色透明凝胶状、无或仅有少量气泡，无不溶性异物。</w:t>
            </w:r>
          </w:p>
          <w:p>
            <w:pPr>
              <w:pStyle w:val="4"/>
              <w:keepNext w:val="0"/>
              <w:keepLines w:val="0"/>
              <w:widowControl/>
              <w:suppressLineNumbers w:val="0"/>
              <w:spacing w:before="0" w:beforeAutospacing="0" w:after="0" w:afterAutospacing="0"/>
              <w:ind w:left="0" w:right="0" w:firstLine="0"/>
              <w:jc w:val="left"/>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3.性能</w:t>
            </w:r>
          </w:p>
          <w:p>
            <w:pPr>
              <w:pStyle w:val="4"/>
              <w:keepNext w:val="0"/>
              <w:keepLines w:val="0"/>
              <w:widowControl/>
              <w:suppressLineNumbers w:val="0"/>
              <w:spacing w:before="0" w:beforeAutospacing="0" w:after="0" w:afterAutospacing="0"/>
              <w:ind w:left="0" w:right="0" w:firstLine="0"/>
              <w:jc w:val="left"/>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3.1声速（35℃）：1520~1620m/s</w:t>
            </w:r>
          </w:p>
          <w:p>
            <w:pPr>
              <w:pStyle w:val="4"/>
              <w:keepNext w:val="0"/>
              <w:keepLines w:val="0"/>
              <w:widowControl/>
              <w:suppressLineNumbers w:val="0"/>
              <w:spacing w:before="0" w:beforeAutospacing="0" w:after="0" w:afterAutospacing="0"/>
              <w:ind w:left="0" w:right="0" w:firstLine="0"/>
              <w:jc w:val="left"/>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3.2声特性阻抗（35℃）：1.5~1.6×106Pa·s/m</w:t>
            </w:r>
          </w:p>
          <w:p>
            <w:pPr>
              <w:pStyle w:val="4"/>
              <w:keepNext w:val="0"/>
              <w:keepLines w:val="0"/>
              <w:widowControl/>
              <w:suppressLineNumbers w:val="0"/>
              <w:spacing w:before="0" w:beforeAutospacing="0" w:after="0" w:afterAutospacing="0"/>
              <w:ind w:left="0" w:right="0" w:firstLine="0"/>
              <w:jc w:val="left"/>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3.3声衰减系数斜率（35℃）：≤0.1dB/(cm·MHz)</w:t>
            </w:r>
          </w:p>
          <w:p>
            <w:pPr>
              <w:pStyle w:val="4"/>
              <w:keepNext w:val="0"/>
              <w:keepLines w:val="0"/>
              <w:widowControl/>
              <w:suppressLineNumbers w:val="0"/>
              <w:spacing w:before="0" w:beforeAutospacing="0" w:after="0" w:afterAutospacing="0"/>
              <w:ind w:left="0" w:right="0" w:firstLine="0"/>
              <w:jc w:val="left"/>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3.4粘度（25℃）：无</w:t>
            </w:r>
          </w:p>
          <w:p>
            <w:pPr>
              <w:pStyle w:val="4"/>
              <w:keepNext w:val="0"/>
              <w:keepLines w:val="0"/>
              <w:widowControl/>
              <w:suppressLineNumbers w:val="0"/>
              <w:spacing w:before="0" w:beforeAutospacing="0" w:after="0" w:afterAutospacing="0"/>
              <w:ind w:left="0" w:right="0" w:firstLine="0"/>
              <w:jc w:val="left"/>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3.5 PH值：5.5~8.0</w:t>
            </w:r>
          </w:p>
          <w:p>
            <w:pPr>
              <w:pStyle w:val="4"/>
              <w:keepNext w:val="0"/>
              <w:keepLines w:val="0"/>
              <w:widowControl/>
              <w:suppressLineNumbers w:val="0"/>
              <w:spacing w:before="0" w:beforeAutospacing="0" w:after="0" w:afterAutospacing="0"/>
              <w:ind w:left="0" w:right="0" w:firstLine="0"/>
              <w:jc w:val="left"/>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4.稳定性</w:t>
            </w:r>
          </w:p>
          <w:p>
            <w:pPr>
              <w:pStyle w:val="4"/>
              <w:keepNext w:val="0"/>
              <w:keepLines w:val="0"/>
              <w:widowControl/>
              <w:suppressLineNumbers w:val="0"/>
              <w:spacing w:before="0" w:beforeAutospacing="0" w:after="0" w:afterAutospacing="0"/>
              <w:ind w:left="0" w:right="0" w:firstLine="0"/>
              <w:jc w:val="left"/>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在制造商规定的有效期内、符合正常存放条件下，产品不得出现分层、霉变和异味。</w:t>
            </w:r>
          </w:p>
          <w:p>
            <w:pPr>
              <w:numPr>
                <w:ilvl w:val="0"/>
                <w:numId w:val="0"/>
              </w:numPr>
              <w:spacing w:line="276" w:lineRule="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5.消毒物质成分及其含量</w:t>
            </w:r>
          </w:p>
          <w:p>
            <w:pPr>
              <w:numPr>
                <w:ilvl w:val="0"/>
                <w:numId w:val="0"/>
              </w:numPr>
              <w:spacing w:line="276" w:lineRule="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三氯羟基二苯醚（0.1%~0.3%）</w:t>
            </w:r>
          </w:p>
          <w:p>
            <w:pPr>
              <w:numPr>
                <w:ilvl w:val="0"/>
                <w:numId w:val="0"/>
              </w:numPr>
              <w:spacing w:line="276" w:lineRule="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6.微生物指标</w:t>
            </w:r>
          </w:p>
          <w:p>
            <w:pPr>
              <w:numPr>
                <w:ilvl w:val="0"/>
                <w:numId w:val="0"/>
              </w:numPr>
              <w:spacing w:line="276" w:lineRule="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产品的细菌菌落总数≤200Cfu/g（ml），产品中不得检出大肠菌群、绿脓杆菌、金黄色葡萄球菌与溶血性链球菌及真菌。</w:t>
            </w:r>
          </w:p>
          <w:p>
            <w:pPr>
              <w:widowControl/>
              <w:spacing w:line="30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bidi="ar-SA"/>
              </w:rPr>
              <w:t>7.无菌产品应经工业湿热灭菌确认的灭菌过程使其无菌。</w:t>
            </w:r>
          </w:p>
        </w:tc>
      </w:tr>
    </w:tbl>
    <w:p>
      <w:pPr>
        <w:widowControl/>
        <w:shd w:val="clear" w:color="auto" w:fill="FFFFFF"/>
        <w:wordWrap w:val="0"/>
        <w:spacing w:line="276" w:lineRule="auto"/>
        <w:jc w:val="left"/>
        <w:rPr>
          <w:rFonts w:cs="Segoe UI" w:asciiTheme="minorEastAsia" w:hAnsiTheme="minorEastAsia"/>
          <w:color w:val="333333"/>
          <w:spacing w:val="8"/>
          <w:kern w:val="0"/>
          <w:sz w:val="28"/>
          <w:szCs w:val="28"/>
        </w:rPr>
      </w:pPr>
      <w:r>
        <w:rPr>
          <w:rFonts w:hint="eastAsia" w:cs="Segoe UI" w:asciiTheme="minorEastAsia" w:hAnsiTheme="minorEastAsia"/>
          <w:color w:val="333333"/>
          <w:spacing w:val="8"/>
          <w:kern w:val="0"/>
          <w:sz w:val="28"/>
          <w:szCs w:val="28"/>
        </w:rPr>
        <w:t>4.商务要求：</w:t>
      </w:r>
    </w:p>
    <w:p>
      <w:pPr>
        <w:jc w:val="left"/>
        <w:rPr>
          <w:rFonts w:hint="eastAsia" w:ascii="仿宋" w:hAnsi="仿宋" w:eastAsia="仿宋" w:cs="Segoe UI"/>
          <w:color w:val="333333"/>
          <w:spacing w:val="8"/>
          <w:kern w:val="0"/>
          <w:sz w:val="28"/>
          <w:szCs w:val="28"/>
        </w:rPr>
      </w:pPr>
      <w:r>
        <w:rPr>
          <w:rFonts w:hint="eastAsia" w:ascii="仿宋" w:hAnsi="仿宋" w:eastAsia="仿宋" w:cs="Segoe UI"/>
          <w:color w:val="333333"/>
          <w:spacing w:val="8"/>
          <w:kern w:val="0"/>
          <w:sz w:val="28"/>
          <w:szCs w:val="28"/>
          <w:lang w:val="en-US" w:eastAsia="zh-CN"/>
        </w:rPr>
        <w:t>4.</w:t>
      </w:r>
      <w:r>
        <w:rPr>
          <w:rFonts w:hint="eastAsia" w:ascii="仿宋" w:hAnsi="仿宋" w:eastAsia="仿宋" w:cs="Segoe UI"/>
          <w:color w:val="333333"/>
          <w:spacing w:val="8"/>
          <w:kern w:val="0"/>
          <w:sz w:val="28"/>
          <w:szCs w:val="28"/>
        </w:rPr>
        <w:t>1.供应商投标第二类医疗器械必须具备医疗器械注册证或医疗器械备案凭证,且必须为四川省药械集中采购及价格监管平台挂网公示产品，提供产品挂网商品代码；</w:t>
      </w:r>
    </w:p>
    <w:p>
      <w:pPr>
        <w:jc w:val="left"/>
        <w:rPr>
          <w:rFonts w:hint="eastAsia" w:ascii="仿宋" w:hAnsi="仿宋" w:eastAsia="仿宋" w:cs="Segoe UI"/>
          <w:color w:val="333333"/>
          <w:spacing w:val="8"/>
          <w:kern w:val="0"/>
          <w:sz w:val="28"/>
          <w:szCs w:val="28"/>
        </w:rPr>
      </w:pPr>
      <w:r>
        <w:rPr>
          <w:rFonts w:hint="eastAsia" w:ascii="仿宋" w:hAnsi="仿宋" w:eastAsia="仿宋" w:cs="Segoe UI"/>
          <w:color w:val="333333"/>
          <w:spacing w:val="8"/>
          <w:kern w:val="0"/>
          <w:sz w:val="28"/>
          <w:szCs w:val="28"/>
          <w:lang w:val="en-US" w:eastAsia="zh-CN"/>
        </w:rPr>
        <w:t>4.</w:t>
      </w:r>
      <w:r>
        <w:rPr>
          <w:rFonts w:hint="eastAsia" w:ascii="仿宋" w:hAnsi="仿宋" w:eastAsia="仿宋" w:cs="Segoe UI"/>
          <w:color w:val="333333"/>
          <w:spacing w:val="8"/>
          <w:kern w:val="0"/>
          <w:sz w:val="28"/>
          <w:szCs w:val="28"/>
        </w:rPr>
        <w:t>2.每包投标供应商都应具备以上各包所有类别材料的供货资质，资质不全或缺少报价则视为不响应。</w:t>
      </w:r>
    </w:p>
    <w:p>
      <w:pPr>
        <w:widowControl/>
        <w:jc w:val="left"/>
        <w:rPr>
          <w:rFonts w:ascii="宋体" w:hAnsi="宋体" w:eastAsia="宋体" w:cs="Segoe UI"/>
          <w:b/>
          <w:bCs/>
          <w:color w:val="333333"/>
          <w:kern w:val="0"/>
          <w:sz w:val="28"/>
          <w:szCs w:val="28"/>
        </w:rPr>
      </w:pPr>
      <w:r>
        <w:rPr>
          <w:rFonts w:ascii="宋体" w:hAnsi="宋体" w:eastAsia="宋体" w:cs="Segoe UI"/>
          <w:b/>
          <w:bCs/>
          <w:color w:val="333333"/>
          <w:kern w:val="0"/>
          <w:sz w:val="28"/>
          <w:szCs w:val="28"/>
        </w:rPr>
        <w:br w:type="page"/>
      </w:r>
    </w:p>
    <w:p>
      <w:pPr>
        <w:widowControl/>
        <w:shd w:val="clear" w:color="auto" w:fill="FFFFFF"/>
        <w:wordWrap w:val="0"/>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9164" w:type="dxa"/>
        <w:tblInd w:w="-743" w:type="dxa"/>
        <w:shd w:val="clear" w:color="auto" w:fill="FFFFFF"/>
        <w:tblLayout w:type="autofit"/>
        <w:tblCellMar>
          <w:top w:w="0" w:type="dxa"/>
          <w:left w:w="0" w:type="dxa"/>
          <w:bottom w:w="0" w:type="dxa"/>
          <w:right w:w="0" w:type="dxa"/>
        </w:tblCellMar>
      </w:tblPr>
      <w:tblGrid>
        <w:gridCol w:w="646"/>
        <w:gridCol w:w="1162"/>
        <w:gridCol w:w="516"/>
        <w:gridCol w:w="3356"/>
        <w:gridCol w:w="3484"/>
      </w:tblGrid>
      <w:tr>
        <w:tblPrEx>
          <w:shd w:val="clear" w:color="auto" w:fill="FFFFFF"/>
          <w:tblCellMar>
            <w:top w:w="0" w:type="dxa"/>
            <w:left w:w="0" w:type="dxa"/>
            <w:bottom w:w="0" w:type="dxa"/>
            <w:right w:w="0" w:type="dxa"/>
          </w:tblCellMar>
        </w:tblPrEx>
        <w:trPr>
          <w:trHeight w:val="651"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序号</w:t>
            </w:r>
          </w:p>
        </w:tc>
        <w:tc>
          <w:tcPr>
            <w:tcW w:w="11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评分因素</w:t>
            </w:r>
          </w:p>
        </w:tc>
        <w:tc>
          <w:tcPr>
            <w:tcW w:w="5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分值</w:t>
            </w:r>
          </w:p>
        </w:tc>
        <w:tc>
          <w:tcPr>
            <w:tcW w:w="335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评分标准</w:t>
            </w:r>
          </w:p>
        </w:tc>
        <w:tc>
          <w:tcPr>
            <w:tcW w:w="348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说明</w:t>
            </w:r>
          </w:p>
        </w:tc>
      </w:tr>
      <w:tr>
        <w:tblPrEx>
          <w:shd w:val="clear" w:color="auto" w:fill="FFFFFF"/>
          <w:tblCellMar>
            <w:top w:w="0" w:type="dxa"/>
            <w:left w:w="0" w:type="dxa"/>
            <w:bottom w:w="0" w:type="dxa"/>
            <w:right w:w="0" w:type="dxa"/>
          </w:tblCellMar>
        </w:tblPrEx>
        <w:trPr>
          <w:trHeight w:val="2424"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333333"/>
                <w:kern w:val="0"/>
                <w:sz w:val="22"/>
                <w:szCs w:val="24"/>
              </w:rPr>
            </w:pPr>
            <w:r>
              <w:rPr>
                <w:rFonts w:hint="eastAsia" w:ascii="仿宋" w:hAnsi="仿宋" w:eastAsia="仿宋" w:cs="Segoe UI"/>
                <w:color w:val="000000"/>
                <w:kern w:val="0"/>
                <w:sz w:val="22"/>
                <w:szCs w:val="24"/>
              </w:rPr>
              <w:t>1</w:t>
            </w:r>
          </w:p>
        </w:tc>
        <w:tc>
          <w:tcPr>
            <w:tcW w:w="11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000000"/>
                <w:kern w:val="0"/>
                <w:sz w:val="22"/>
                <w:szCs w:val="24"/>
              </w:rPr>
            </w:pPr>
            <w:r>
              <w:rPr>
                <w:rFonts w:hint="eastAsia" w:ascii="仿宋" w:hAnsi="仿宋" w:eastAsia="仿宋" w:cs="Segoe UI"/>
                <w:color w:val="000000"/>
                <w:kern w:val="0"/>
                <w:sz w:val="22"/>
                <w:szCs w:val="24"/>
              </w:rPr>
              <w:t>投标报价</w:t>
            </w:r>
          </w:p>
          <w:p>
            <w:pPr>
              <w:widowControl/>
              <w:wordWrap w:val="0"/>
              <w:spacing w:line="270" w:lineRule="atLeast"/>
              <w:jc w:val="center"/>
              <w:rPr>
                <w:rFonts w:ascii="仿宋" w:hAnsi="仿宋" w:eastAsia="仿宋" w:cs="Segoe UI"/>
                <w:color w:val="333333"/>
                <w:kern w:val="0"/>
                <w:sz w:val="22"/>
                <w:szCs w:val="24"/>
              </w:rPr>
            </w:pPr>
            <w:r>
              <w:rPr>
                <w:rFonts w:hint="eastAsia" w:ascii="仿宋" w:hAnsi="仿宋" w:eastAsia="仿宋" w:cs="Segoe UI"/>
                <w:color w:val="000000"/>
                <w:kern w:val="0"/>
                <w:sz w:val="22"/>
                <w:szCs w:val="24"/>
              </w:rPr>
              <w:t>40%</w:t>
            </w:r>
          </w:p>
        </w:tc>
        <w:tc>
          <w:tcPr>
            <w:tcW w:w="51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333333"/>
                <w:kern w:val="0"/>
                <w:sz w:val="22"/>
                <w:szCs w:val="24"/>
              </w:rPr>
            </w:pPr>
            <w:r>
              <w:rPr>
                <w:rFonts w:hint="eastAsia" w:ascii="仿宋" w:hAnsi="仿宋" w:eastAsia="仿宋" w:cs="Segoe UI"/>
                <w:color w:val="000000"/>
                <w:kern w:val="0"/>
                <w:sz w:val="22"/>
                <w:szCs w:val="24"/>
              </w:rPr>
              <w:t>40</w:t>
            </w:r>
          </w:p>
        </w:tc>
        <w:tc>
          <w:tcPr>
            <w:tcW w:w="3356"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仿宋" w:hAnsi="仿宋" w:eastAsia="仿宋" w:cs="Segoe UI"/>
                <w:b/>
                <w:kern w:val="0"/>
                <w:sz w:val="22"/>
                <w:szCs w:val="24"/>
              </w:rPr>
            </w:pPr>
            <w:r>
              <w:rPr>
                <w:rFonts w:hint="eastAsia" w:ascii="仿宋" w:hAnsi="仿宋" w:eastAsia="仿宋" w:cs="Segoe UI"/>
                <w:b/>
                <w:kern w:val="0"/>
                <w:sz w:val="22"/>
                <w:szCs w:val="24"/>
              </w:rPr>
              <w:t>1.价格分：</w:t>
            </w:r>
          </w:p>
          <w:p>
            <w:pPr>
              <w:widowControl/>
              <w:wordWrap w:val="0"/>
              <w:spacing w:line="270" w:lineRule="atLeast"/>
              <w:jc w:val="left"/>
              <w:rPr>
                <w:rFonts w:ascii="仿宋" w:hAnsi="仿宋" w:eastAsia="仿宋" w:cs="Segoe UI"/>
                <w:kern w:val="0"/>
                <w:sz w:val="22"/>
                <w:szCs w:val="24"/>
              </w:rPr>
            </w:pPr>
            <w:r>
              <w:rPr>
                <w:rFonts w:hint="eastAsia" w:ascii="仿宋" w:hAnsi="仿宋" w:eastAsia="仿宋" w:cs="Segoe UI"/>
                <w:kern w:val="0"/>
                <w:sz w:val="22"/>
                <w:szCs w:val="24"/>
              </w:rPr>
              <w:t>投标材料满足招标文件要求且以</w:t>
            </w:r>
            <w:r>
              <w:rPr>
                <w:rFonts w:hint="eastAsia" w:ascii="仿宋" w:hAnsi="仿宋" w:eastAsia="仿宋" w:cs="Segoe UI"/>
                <w:b/>
                <w:kern w:val="0"/>
                <w:sz w:val="22"/>
                <w:szCs w:val="24"/>
              </w:rPr>
              <w:t>投标总价</w:t>
            </w:r>
            <w:r>
              <w:rPr>
                <w:rFonts w:hint="eastAsia" w:ascii="仿宋" w:hAnsi="仿宋" w:eastAsia="仿宋" w:cs="Segoe UI"/>
                <w:kern w:val="0"/>
                <w:sz w:val="22"/>
                <w:szCs w:val="24"/>
              </w:rPr>
              <w:t>最低的为</w:t>
            </w:r>
            <w:r>
              <w:rPr>
                <w:rFonts w:hint="eastAsia" w:ascii="仿宋" w:hAnsi="仿宋" w:eastAsia="仿宋" w:cs="Segoe UI"/>
                <w:b/>
                <w:kern w:val="0"/>
                <w:sz w:val="22"/>
                <w:szCs w:val="24"/>
              </w:rPr>
              <w:t>评标基准价</w:t>
            </w:r>
            <w:r>
              <w:rPr>
                <w:rFonts w:hint="eastAsia" w:ascii="仿宋" w:hAnsi="仿宋" w:eastAsia="仿宋" w:cs="Segoe UI"/>
                <w:kern w:val="0"/>
                <w:sz w:val="22"/>
                <w:szCs w:val="24"/>
              </w:rPr>
              <w:t>，其价格分为40分。其他投标单位的价格分统一按照以下公式计算：价格分=(</w:t>
            </w:r>
            <w:r>
              <w:rPr>
                <w:rFonts w:hint="eastAsia" w:ascii="仿宋" w:hAnsi="仿宋" w:eastAsia="仿宋" w:cs="Segoe UI"/>
                <w:b/>
                <w:kern w:val="0"/>
                <w:sz w:val="22"/>
                <w:szCs w:val="24"/>
              </w:rPr>
              <w:t>评标基准价</w:t>
            </w:r>
            <w:r>
              <w:rPr>
                <w:rFonts w:hint="eastAsia" w:ascii="仿宋" w:hAnsi="仿宋" w:eastAsia="仿宋" w:cs="Segoe UI"/>
                <w:kern w:val="0"/>
                <w:sz w:val="22"/>
                <w:szCs w:val="24"/>
              </w:rPr>
              <w:t>／投标报价)×40</w:t>
            </w:r>
          </w:p>
          <w:p>
            <w:pPr>
              <w:widowControl/>
              <w:wordWrap w:val="0"/>
              <w:spacing w:line="270" w:lineRule="atLeast"/>
              <w:jc w:val="left"/>
              <w:rPr>
                <w:rFonts w:ascii="仿宋" w:hAnsi="仿宋" w:eastAsia="仿宋" w:cs="Segoe UI"/>
                <w:b/>
                <w:kern w:val="0"/>
                <w:sz w:val="22"/>
                <w:szCs w:val="24"/>
              </w:rPr>
            </w:pPr>
            <w:r>
              <w:rPr>
                <w:rFonts w:hint="eastAsia" w:ascii="仿宋" w:hAnsi="仿宋" w:eastAsia="仿宋" w:cs="Segoe UI"/>
                <w:b/>
                <w:kern w:val="0"/>
                <w:sz w:val="22"/>
                <w:szCs w:val="24"/>
              </w:rPr>
              <w:t>2.投标总价</w:t>
            </w:r>
          </w:p>
          <w:p>
            <w:pPr>
              <w:widowControl/>
              <w:wordWrap w:val="0"/>
              <w:spacing w:line="270" w:lineRule="atLeast"/>
              <w:jc w:val="left"/>
              <w:rPr>
                <w:rFonts w:ascii="仿宋" w:hAnsi="仿宋" w:eastAsia="仿宋" w:cs="Segoe UI"/>
                <w:color w:val="000000" w:themeColor="text1"/>
                <w:kern w:val="0"/>
                <w:sz w:val="22"/>
                <w:szCs w:val="24"/>
              </w:rPr>
            </w:pPr>
            <w:r>
              <w:rPr>
                <w:rFonts w:hint="eastAsia" w:ascii="仿宋" w:hAnsi="仿宋" w:eastAsia="仿宋" w:cs="Segoe UI"/>
                <w:color w:val="000000" w:themeColor="text1"/>
                <w:kern w:val="0"/>
                <w:sz w:val="22"/>
                <w:szCs w:val="24"/>
              </w:rPr>
              <w:t>投标总价=各项材料投标单价*年度预计采购数量之和。</w:t>
            </w:r>
          </w:p>
        </w:tc>
        <w:tc>
          <w:tcPr>
            <w:tcW w:w="3484"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仿宋" w:hAnsi="仿宋" w:eastAsia="仿宋" w:cs="Segoe UI"/>
                <w:kern w:val="0"/>
                <w:sz w:val="24"/>
                <w:szCs w:val="24"/>
              </w:rPr>
            </w:pPr>
            <w:r>
              <w:rPr>
                <w:rFonts w:hint="eastAsia" w:ascii="仿宋" w:hAnsi="仿宋" w:eastAsia="仿宋" w:cs="Segoe UI"/>
                <w:kern w:val="0"/>
                <w:sz w:val="24"/>
                <w:szCs w:val="24"/>
              </w:rPr>
              <w:t>1.价格评分比价产品明细详见附件2-1。</w:t>
            </w:r>
          </w:p>
          <w:p>
            <w:pPr>
              <w:widowControl/>
              <w:wordWrap w:val="0"/>
              <w:spacing w:line="270" w:lineRule="atLeast"/>
              <w:jc w:val="left"/>
              <w:rPr>
                <w:rFonts w:ascii="仿宋" w:hAnsi="仿宋" w:eastAsia="仿宋" w:cs="Segoe UI"/>
                <w:kern w:val="0"/>
                <w:sz w:val="24"/>
                <w:szCs w:val="24"/>
              </w:rPr>
            </w:pPr>
            <w:r>
              <w:rPr>
                <w:rFonts w:hint="eastAsia" w:ascii="仿宋" w:hAnsi="仿宋" w:eastAsia="仿宋" w:cs="Segoe UI"/>
                <w:kern w:val="0"/>
                <w:sz w:val="24"/>
                <w:szCs w:val="24"/>
              </w:rPr>
              <w:t>2.若同种产品有多种规格型号且涉及不同报价，1号材料投标单价按照250g/瓶计算，2号材料投标单价按照12g/瓶与250g/瓶计算，3号材料投标单价按照12g/瓶计算，其他规格价格不作价格评分。</w:t>
            </w:r>
          </w:p>
        </w:tc>
      </w:tr>
      <w:tr>
        <w:tblPrEx>
          <w:shd w:val="clear" w:color="auto" w:fill="FFFFFF"/>
          <w:tblCellMar>
            <w:top w:w="0" w:type="dxa"/>
            <w:left w:w="0" w:type="dxa"/>
            <w:bottom w:w="0" w:type="dxa"/>
            <w:right w:w="0" w:type="dxa"/>
          </w:tblCellMar>
        </w:tblPrEx>
        <w:trPr>
          <w:trHeight w:val="3154"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333333"/>
                <w:kern w:val="0"/>
                <w:sz w:val="22"/>
                <w:szCs w:val="24"/>
              </w:rPr>
            </w:pPr>
            <w:r>
              <w:rPr>
                <w:rFonts w:hint="eastAsia" w:ascii="仿宋" w:hAnsi="仿宋" w:eastAsia="仿宋" w:cs="Segoe UI"/>
                <w:color w:val="000000"/>
                <w:kern w:val="0"/>
                <w:sz w:val="22"/>
                <w:szCs w:val="24"/>
              </w:rPr>
              <w:t>2</w:t>
            </w:r>
          </w:p>
        </w:tc>
        <w:tc>
          <w:tcPr>
            <w:tcW w:w="1162"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000000"/>
                <w:kern w:val="0"/>
                <w:sz w:val="22"/>
                <w:szCs w:val="24"/>
              </w:rPr>
            </w:pPr>
            <w:r>
              <w:rPr>
                <w:rFonts w:hint="eastAsia" w:ascii="仿宋" w:hAnsi="仿宋" w:eastAsia="仿宋" w:cs="Segoe UI"/>
                <w:color w:val="000000"/>
                <w:kern w:val="0"/>
                <w:sz w:val="22"/>
                <w:szCs w:val="24"/>
              </w:rPr>
              <w:t>技术指标</w:t>
            </w:r>
          </w:p>
          <w:p>
            <w:pPr>
              <w:widowControl/>
              <w:wordWrap w:val="0"/>
              <w:spacing w:line="270" w:lineRule="atLeast"/>
              <w:jc w:val="center"/>
              <w:rPr>
                <w:rFonts w:ascii="仿宋" w:hAnsi="仿宋" w:eastAsia="仿宋" w:cs="Segoe UI"/>
                <w:color w:val="333333"/>
                <w:kern w:val="0"/>
                <w:sz w:val="22"/>
                <w:szCs w:val="24"/>
              </w:rPr>
            </w:pPr>
            <w:r>
              <w:rPr>
                <w:rFonts w:hint="eastAsia" w:ascii="仿宋" w:hAnsi="仿宋" w:eastAsia="仿宋" w:cs="Segoe UI"/>
                <w:color w:val="000000"/>
                <w:kern w:val="0"/>
                <w:sz w:val="22"/>
                <w:szCs w:val="24"/>
                <w:lang w:val="en-US" w:eastAsia="zh-CN"/>
              </w:rPr>
              <w:t>30</w:t>
            </w:r>
            <w:r>
              <w:rPr>
                <w:rFonts w:hint="eastAsia" w:ascii="仿宋" w:hAnsi="仿宋" w:eastAsia="仿宋" w:cs="Segoe UI"/>
                <w:color w:val="000000"/>
                <w:kern w:val="0"/>
                <w:sz w:val="22"/>
                <w:szCs w:val="24"/>
              </w:rPr>
              <w:t>%</w:t>
            </w:r>
          </w:p>
        </w:tc>
        <w:tc>
          <w:tcPr>
            <w:tcW w:w="516"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仿宋" w:hAnsi="仿宋" w:eastAsia="仿宋" w:cs="Segoe UI"/>
                <w:color w:val="333333"/>
                <w:kern w:val="0"/>
                <w:sz w:val="22"/>
                <w:szCs w:val="24"/>
                <w:lang w:val="en-US" w:eastAsia="zh-CN"/>
              </w:rPr>
            </w:pPr>
            <w:r>
              <w:rPr>
                <w:rFonts w:hint="eastAsia" w:ascii="仿宋" w:hAnsi="仿宋" w:eastAsia="仿宋" w:cs="Segoe UI"/>
                <w:color w:val="000000"/>
                <w:kern w:val="0"/>
                <w:sz w:val="22"/>
                <w:szCs w:val="24"/>
                <w:lang w:val="en-US" w:eastAsia="zh-CN"/>
              </w:rPr>
              <w:t>30</w:t>
            </w:r>
          </w:p>
        </w:tc>
        <w:tc>
          <w:tcPr>
            <w:tcW w:w="335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仿宋" w:hAnsi="仿宋" w:eastAsia="仿宋" w:cs="Segoe UI"/>
                <w:kern w:val="0"/>
                <w:sz w:val="22"/>
                <w:szCs w:val="24"/>
              </w:rPr>
            </w:pPr>
            <w:r>
              <w:rPr>
                <w:rFonts w:hint="eastAsia" w:ascii="仿宋" w:hAnsi="仿宋" w:eastAsia="仿宋" w:cs="Segoe UI"/>
                <w:kern w:val="0"/>
                <w:sz w:val="22"/>
                <w:szCs w:val="24"/>
              </w:rPr>
              <w:t>投标人提供的检测试剂的技术参数完全符合招标文件要求，没有负偏离得30分；非“*”条款技术参数不满足招标文件要求（负偏离），一项扣0.5分，“*”条款技术参数与招标文件要求有负偏离的，一项扣1分；扣完为止。</w:t>
            </w:r>
          </w:p>
        </w:tc>
        <w:tc>
          <w:tcPr>
            <w:tcW w:w="348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Segoe UI"/>
                <w:kern w:val="0"/>
                <w:sz w:val="24"/>
                <w:szCs w:val="24"/>
              </w:rPr>
            </w:pPr>
            <w:r>
              <w:rPr>
                <w:rFonts w:hint="eastAsia" w:ascii="仿宋" w:hAnsi="仿宋" w:eastAsia="仿宋" w:cs="Segoe UI"/>
                <w:kern w:val="0"/>
                <w:sz w:val="24"/>
                <w:szCs w:val="24"/>
              </w:rPr>
              <w:t>“*”条款技术参数投标人须提供技术支撑材料：1.国家相关主管部门出具的的技术支持材料，如说明书、注册证、检测报告等；2.技术支持材料，须加盖投标产品制造厂家的印章或投标产品生产厂家驻中国境内合法直属机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2636"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000000"/>
                <w:kern w:val="0"/>
                <w:sz w:val="22"/>
                <w:szCs w:val="24"/>
              </w:rPr>
            </w:pPr>
            <w:r>
              <w:rPr>
                <w:rFonts w:hint="eastAsia" w:ascii="仿宋" w:hAnsi="仿宋" w:eastAsia="仿宋" w:cs="Segoe UI"/>
                <w:color w:val="000000"/>
                <w:kern w:val="0"/>
                <w:sz w:val="22"/>
                <w:szCs w:val="24"/>
              </w:rPr>
              <w:t>3</w:t>
            </w:r>
          </w:p>
        </w:tc>
        <w:tc>
          <w:tcPr>
            <w:tcW w:w="1162"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Segoe UI"/>
                <w:color w:val="000000"/>
                <w:kern w:val="0"/>
                <w:sz w:val="22"/>
                <w:szCs w:val="24"/>
              </w:rPr>
            </w:pPr>
            <w:r>
              <w:rPr>
                <w:rFonts w:hint="eastAsia" w:ascii="仿宋" w:hAnsi="仿宋" w:eastAsia="仿宋" w:cs="Segoe UI"/>
                <w:color w:val="000000"/>
                <w:kern w:val="0"/>
                <w:sz w:val="22"/>
                <w:szCs w:val="24"/>
              </w:rPr>
              <w:t>样品评分</w:t>
            </w:r>
          </w:p>
          <w:p>
            <w:pPr>
              <w:widowControl/>
              <w:wordWrap w:val="0"/>
              <w:spacing w:line="270" w:lineRule="atLeast"/>
              <w:jc w:val="center"/>
              <w:rPr>
                <w:rFonts w:ascii="仿宋" w:hAnsi="仿宋" w:eastAsia="仿宋" w:cs="Segoe UI"/>
                <w:color w:val="000000"/>
                <w:kern w:val="0"/>
                <w:sz w:val="22"/>
                <w:szCs w:val="24"/>
              </w:rPr>
            </w:pPr>
            <w:r>
              <w:rPr>
                <w:rFonts w:hint="eastAsia" w:ascii="仿宋" w:hAnsi="仿宋" w:eastAsia="仿宋" w:cs="Segoe UI"/>
                <w:color w:val="000000"/>
                <w:kern w:val="0"/>
                <w:sz w:val="22"/>
                <w:szCs w:val="24"/>
                <w:lang w:val="en-US" w:eastAsia="zh-CN"/>
              </w:rPr>
              <w:t>10</w:t>
            </w:r>
            <w:r>
              <w:rPr>
                <w:rFonts w:hint="eastAsia" w:ascii="仿宋" w:hAnsi="仿宋" w:eastAsia="仿宋" w:cs="Segoe UI"/>
                <w:color w:val="000000"/>
                <w:kern w:val="0"/>
                <w:sz w:val="22"/>
                <w:szCs w:val="24"/>
              </w:rPr>
              <w:t>%</w:t>
            </w:r>
          </w:p>
        </w:tc>
        <w:tc>
          <w:tcPr>
            <w:tcW w:w="516"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仿宋" w:hAnsi="仿宋" w:eastAsia="仿宋" w:cs="Segoe UI"/>
                <w:color w:val="000000"/>
                <w:kern w:val="0"/>
                <w:sz w:val="22"/>
                <w:szCs w:val="24"/>
                <w:lang w:val="en-US" w:eastAsia="zh-CN"/>
              </w:rPr>
            </w:pPr>
            <w:r>
              <w:rPr>
                <w:rFonts w:hint="eastAsia" w:ascii="仿宋" w:hAnsi="仿宋" w:eastAsia="仿宋" w:cs="Segoe UI"/>
                <w:color w:val="000000"/>
                <w:kern w:val="0"/>
                <w:sz w:val="22"/>
                <w:szCs w:val="24"/>
                <w:lang w:val="en-US" w:eastAsia="zh-CN"/>
              </w:rPr>
              <w:t>10</w:t>
            </w:r>
          </w:p>
        </w:tc>
        <w:tc>
          <w:tcPr>
            <w:tcW w:w="335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Segoe UI"/>
                <w:color w:val="000000"/>
                <w:kern w:val="0"/>
                <w:sz w:val="22"/>
                <w:szCs w:val="24"/>
              </w:rPr>
            </w:pPr>
            <w:r>
              <w:rPr>
                <w:rFonts w:hint="eastAsia" w:ascii="仿宋" w:hAnsi="仿宋" w:eastAsia="仿宋" w:cs="Segoe UI"/>
                <w:color w:val="000000"/>
                <w:kern w:val="0"/>
                <w:sz w:val="22"/>
                <w:szCs w:val="24"/>
              </w:rPr>
              <w:t>提供投标产品样品及产品说明书，根据样品的外观、材质、性能、是否符合临床需求、产品市场信誉度等综合评定，优7-10分；良得4-6分；一般得1-3分；差或未提供则不得分。</w:t>
            </w:r>
          </w:p>
        </w:tc>
        <w:tc>
          <w:tcPr>
            <w:tcW w:w="348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eastAsia="仿宋" w:cs="Segoe UI" w:asciiTheme="minorEastAsia" w:hAnsiTheme="minorEastAsia"/>
                <w:kern w:val="0"/>
                <w:sz w:val="24"/>
                <w:szCs w:val="24"/>
              </w:rPr>
            </w:pPr>
            <w:r>
              <w:rPr>
                <w:rFonts w:hint="eastAsia" w:eastAsia="仿宋" w:cs="Segoe UI" w:asciiTheme="minorEastAsia" w:hAnsiTheme="minorEastAsia"/>
                <w:kern w:val="0"/>
                <w:sz w:val="24"/>
                <w:szCs w:val="24"/>
              </w:rPr>
              <w:t>要求提供的样品将品牌LOGO等信息遮住。</w:t>
            </w:r>
          </w:p>
        </w:tc>
      </w:tr>
      <w:tr>
        <w:tblPrEx>
          <w:tblCellMar>
            <w:top w:w="0" w:type="dxa"/>
            <w:left w:w="0" w:type="dxa"/>
            <w:bottom w:w="0" w:type="dxa"/>
            <w:right w:w="0" w:type="dxa"/>
          </w:tblCellMar>
        </w:tblPrEx>
        <w:trPr>
          <w:trHeight w:val="1860" w:hRule="atLeast"/>
        </w:trPr>
        <w:tc>
          <w:tcPr>
            <w:tcW w:w="646" w:type="dxa"/>
            <w:vMerge w:val="restart"/>
            <w:tcBorders>
              <w:top w:val="single" w:color="auto" w:sz="4"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333333"/>
                <w:kern w:val="0"/>
                <w:sz w:val="22"/>
                <w:szCs w:val="24"/>
              </w:rPr>
            </w:pPr>
            <w:r>
              <w:rPr>
                <w:rFonts w:hint="eastAsia" w:ascii="仿宋" w:hAnsi="仿宋" w:eastAsia="仿宋" w:cs="Segoe UI"/>
                <w:color w:val="000000"/>
                <w:kern w:val="0"/>
                <w:sz w:val="22"/>
                <w:szCs w:val="24"/>
              </w:rPr>
              <w:t>4</w:t>
            </w:r>
          </w:p>
        </w:tc>
        <w:tc>
          <w:tcPr>
            <w:tcW w:w="1162" w:type="dxa"/>
            <w:vMerge w:val="restart"/>
            <w:tcBorders>
              <w:top w:val="single" w:color="auto" w:sz="4"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000000"/>
                <w:kern w:val="0"/>
                <w:sz w:val="22"/>
                <w:szCs w:val="24"/>
              </w:rPr>
            </w:pPr>
            <w:r>
              <w:rPr>
                <w:rFonts w:hint="eastAsia" w:ascii="仿宋" w:hAnsi="仿宋" w:eastAsia="仿宋" w:cs="Segoe UI"/>
                <w:color w:val="000000"/>
                <w:kern w:val="0"/>
                <w:sz w:val="22"/>
                <w:szCs w:val="24"/>
                <w:lang w:eastAsia="zh-CN"/>
              </w:rPr>
              <w:t>业绩</w:t>
            </w:r>
            <w:r>
              <w:rPr>
                <w:rFonts w:hint="eastAsia" w:ascii="仿宋" w:hAnsi="仿宋" w:eastAsia="仿宋" w:cs="Segoe UI"/>
                <w:color w:val="000000"/>
                <w:kern w:val="0"/>
                <w:sz w:val="22"/>
                <w:szCs w:val="24"/>
                <w:lang w:val="en-US" w:eastAsia="zh-CN"/>
              </w:rPr>
              <w:t>15</w:t>
            </w:r>
            <w:r>
              <w:rPr>
                <w:rFonts w:hint="eastAsia" w:ascii="仿宋" w:hAnsi="仿宋" w:eastAsia="仿宋" w:cs="Segoe UI"/>
                <w:color w:val="000000"/>
                <w:kern w:val="0"/>
                <w:sz w:val="22"/>
                <w:szCs w:val="24"/>
              </w:rPr>
              <w:t>%</w:t>
            </w:r>
          </w:p>
        </w:tc>
        <w:tc>
          <w:tcPr>
            <w:tcW w:w="51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仿宋" w:hAnsi="仿宋" w:eastAsia="仿宋" w:cs="Segoe UI"/>
                <w:color w:val="333333"/>
                <w:kern w:val="0"/>
                <w:sz w:val="22"/>
                <w:szCs w:val="24"/>
                <w:lang w:val="en-US" w:eastAsia="zh-CN"/>
              </w:rPr>
            </w:pPr>
            <w:r>
              <w:rPr>
                <w:rFonts w:hint="eastAsia" w:ascii="仿宋" w:hAnsi="仿宋" w:eastAsia="仿宋" w:cs="Segoe UI"/>
                <w:color w:val="000000"/>
                <w:kern w:val="0"/>
                <w:sz w:val="22"/>
                <w:szCs w:val="24"/>
                <w:lang w:val="en-US" w:eastAsia="zh-CN"/>
              </w:rPr>
              <w:t>10</w:t>
            </w:r>
          </w:p>
        </w:tc>
        <w:tc>
          <w:tcPr>
            <w:tcW w:w="335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numPr>
                <w:ilvl w:val="0"/>
                <w:numId w:val="0"/>
              </w:numPr>
              <w:wordWrap w:val="0"/>
              <w:spacing w:line="270" w:lineRule="atLeast"/>
              <w:jc w:val="left"/>
              <w:rPr>
                <w:rFonts w:ascii="仿宋" w:hAnsi="仿宋" w:eastAsia="仿宋" w:cs="Segoe UI"/>
                <w:color w:val="333333"/>
                <w:kern w:val="0"/>
                <w:sz w:val="22"/>
                <w:szCs w:val="24"/>
              </w:rPr>
            </w:pPr>
            <w:r>
              <w:rPr>
                <w:rFonts w:hint="eastAsia" w:ascii="仿宋" w:hAnsi="仿宋" w:eastAsia="仿宋" w:cs="Segoe UI"/>
                <w:color w:val="000000"/>
                <w:kern w:val="0"/>
                <w:sz w:val="22"/>
                <w:szCs w:val="24"/>
              </w:rPr>
              <w:t xml:space="preserve">投标人需提供该产品2018年以来国内三甲医疗机构客户名单，每提供1家三甲医疗机构得2分，最多10分。  </w:t>
            </w:r>
          </w:p>
        </w:tc>
        <w:tc>
          <w:tcPr>
            <w:tcW w:w="3484" w:type="dxa"/>
            <w:vMerge w:val="restart"/>
            <w:tcBorders>
              <w:top w:val="single" w:color="auto" w:sz="4"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Segoe UI"/>
                <w:color w:val="000000"/>
                <w:kern w:val="0"/>
                <w:sz w:val="24"/>
                <w:szCs w:val="24"/>
              </w:rPr>
            </w:pPr>
            <w:r>
              <w:rPr>
                <w:rFonts w:hint="eastAsia" w:ascii="仿宋" w:hAnsi="仿宋" w:eastAsia="仿宋" w:cs="Segoe UI"/>
                <w:color w:val="000000"/>
                <w:kern w:val="0"/>
                <w:sz w:val="24"/>
                <w:szCs w:val="24"/>
              </w:rPr>
              <w:t>以下三项材料均可作为依据：</w:t>
            </w:r>
          </w:p>
          <w:p>
            <w:pPr>
              <w:widowControl/>
              <w:wordWrap w:val="0"/>
              <w:spacing w:line="270" w:lineRule="atLeast"/>
              <w:jc w:val="left"/>
              <w:rPr>
                <w:rFonts w:hint="eastAsia" w:ascii="仿宋" w:hAnsi="仿宋" w:eastAsia="仿宋" w:cs="Segoe UI"/>
                <w:color w:val="000000"/>
                <w:kern w:val="0"/>
                <w:sz w:val="24"/>
                <w:szCs w:val="24"/>
              </w:rPr>
            </w:pPr>
            <w:r>
              <w:rPr>
                <w:rFonts w:hint="eastAsia" w:ascii="仿宋" w:hAnsi="仿宋" w:eastAsia="仿宋" w:cs="Segoe UI"/>
                <w:color w:val="000000"/>
                <w:kern w:val="0"/>
                <w:sz w:val="24"/>
                <w:szCs w:val="24"/>
              </w:rPr>
              <w:t>1.合同复印件；</w:t>
            </w:r>
          </w:p>
          <w:p>
            <w:pPr>
              <w:widowControl/>
              <w:wordWrap w:val="0"/>
              <w:spacing w:line="270" w:lineRule="atLeast"/>
              <w:jc w:val="left"/>
              <w:rPr>
                <w:rFonts w:hint="eastAsia" w:ascii="仿宋" w:hAnsi="仿宋" w:eastAsia="仿宋" w:cs="Segoe UI"/>
                <w:color w:val="000000"/>
                <w:kern w:val="0"/>
                <w:sz w:val="24"/>
                <w:szCs w:val="24"/>
              </w:rPr>
            </w:pPr>
            <w:r>
              <w:rPr>
                <w:rFonts w:hint="eastAsia" w:ascii="仿宋" w:hAnsi="仿宋" w:eastAsia="仿宋" w:cs="Segoe UI"/>
                <w:color w:val="000000"/>
                <w:kern w:val="0"/>
                <w:sz w:val="24"/>
                <w:szCs w:val="24"/>
              </w:rPr>
              <w:t>2.中标通知书；</w:t>
            </w:r>
          </w:p>
          <w:p>
            <w:pPr>
              <w:widowControl/>
              <w:wordWrap w:val="0"/>
              <w:spacing w:line="270" w:lineRule="atLeast"/>
              <w:jc w:val="left"/>
              <w:rPr>
                <w:rFonts w:ascii="仿宋" w:hAnsi="仿宋" w:eastAsia="仿宋" w:cs="Segoe UI"/>
                <w:color w:val="000000"/>
                <w:kern w:val="0"/>
                <w:sz w:val="24"/>
                <w:szCs w:val="24"/>
              </w:rPr>
            </w:pPr>
            <w:r>
              <w:rPr>
                <w:rFonts w:hint="eastAsia" w:ascii="仿宋" w:hAnsi="仿宋" w:eastAsia="仿宋" w:cs="Segoe UI"/>
                <w:color w:val="000000"/>
                <w:kern w:val="0"/>
                <w:sz w:val="24"/>
                <w:szCs w:val="24"/>
              </w:rPr>
              <w:t>3.发票复印件（若发票复印件上无产品明细则需附销货清单）；</w:t>
            </w:r>
          </w:p>
        </w:tc>
      </w:tr>
      <w:tr>
        <w:tblPrEx>
          <w:tblCellMar>
            <w:top w:w="0" w:type="dxa"/>
            <w:left w:w="0" w:type="dxa"/>
            <w:bottom w:w="0" w:type="dxa"/>
            <w:right w:w="0" w:type="dxa"/>
          </w:tblCellMar>
        </w:tblPrEx>
        <w:trPr>
          <w:trHeight w:val="1245" w:hRule="atLeast"/>
        </w:trPr>
        <w:tc>
          <w:tcPr>
            <w:tcW w:w="646"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000000"/>
                <w:kern w:val="0"/>
                <w:sz w:val="22"/>
                <w:szCs w:val="24"/>
              </w:rPr>
            </w:pPr>
          </w:p>
        </w:tc>
        <w:tc>
          <w:tcPr>
            <w:tcW w:w="1162"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000000"/>
                <w:kern w:val="0"/>
                <w:sz w:val="22"/>
                <w:szCs w:val="24"/>
              </w:rPr>
            </w:pPr>
          </w:p>
        </w:tc>
        <w:tc>
          <w:tcPr>
            <w:tcW w:w="51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spacing w:line="270" w:lineRule="atLeast"/>
              <w:jc w:val="center"/>
              <w:rPr>
                <w:rFonts w:hint="eastAsia" w:ascii="仿宋" w:hAnsi="仿宋" w:eastAsia="仿宋" w:cs="Segoe UI"/>
                <w:color w:val="000000"/>
                <w:kern w:val="0"/>
                <w:sz w:val="22"/>
                <w:szCs w:val="24"/>
                <w:lang w:eastAsia="zh-CN"/>
              </w:rPr>
            </w:pPr>
            <w:r>
              <w:rPr>
                <w:rFonts w:hint="eastAsia" w:ascii="仿宋" w:hAnsi="仿宋" w:eastAsia="仿宋" w:cs="Segoe UI"/>
                <w:color w:val="000000"/>
                <w:kern w:val="0"/>
                <w:sz w:val="22"/>
                <w:szCs w:val="24"/>
                <w:lang w:val="en-US" w:eastAsia="zh-CN"/>
              </w:rPr>
              <w:t>5</w:t>
            </w:r>
          </w:p>
        </w:tc>
        <w:tc>
          <w:tcPr>
            <w:tcW w:w="335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spacing w:line="270" w:lineRule="atLeast"/>
              <w:jc w:val="left"/>
              <w:rPr>
                <w:rFonts w:ascii="仿宋" w:hAnsi="仿宋" w:eastAsia="仿宋" w:cs="Segoe UI"/>
                <w:color w:val="000000"/>
                <w:kern w:val="0"/>
                <w:sz w:val="22"/>
                <w:szCs w:val="24"/>
                <w:highlight w:val="yellow"/>
              </w:rPr>
            </w:pPr>
            <w:r>
              <w:rPr>
                <w:rFonts w:hint="eastAsia" w:ascii="仿宋" w:hAnsi="仿宋" w:eastAsia="仿宋" w:cs="Segoe UI"/>
                <w:color w:val="000000"/>
                <w:kern w:val="0"/>
                <w:sz w:val="22"/>
                <w:szCs w:val="24"/>
              </w:rPr>
              <w:t>产品为四川省药械集中采购及医药价格监管平台挂网产品，提供产品挂网商品代码、医保编码。</w:t>
            </w:r>
          </w:p>
        </w:tc>
        <w:tc>
          <w:tcPr>
            <w:tcW w:w="3484"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spacing w:line="270" w:lineRule="atLeast"/>
              <w:jc w:val="left"/>
              <w:rPr>
                <w:rFonts w:ascii="仿宋" w:hAnsi="仿宋" w:eastAsia="仿宋" w:cs="Segoe UI"/>
                <w:color w:val="000000"/>
                <w:kern w:val="0"/>
                <w:sz w:val="24"/>
                <w:szCs w:val="24"/>
              </w:rPr>
            </w:pPr>
          </w:p>
        </w:tc>
      </w:tr>
      <w:tr>
        <w:tblPrEx>
          <w:tblCellMar>
            <w:top w:w="0" w:type="dxa"/>
            <w:left w:w="0" w:type="dxa"/>
            <w:bottom w:w="0" w:type="dxa"/>
            <w:right w:w="0" w:type="dxa"/>
          </w:tblCellMar>
        </w:tblPrEx>
        <w:trPr>
          <w:trHeight w:val="841" w:hRule="atLeast"/>
        </w:trPr>
        <w:tc>
          <w:tcPr>
            <w:tcW w:w="64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333333"/>
                <w:kern w:val="0"/>
                <w:sz w:val="22"/>
                <w:szCs w:val="24"/>
              </w:rPr>
            </w:pPr>
            <w:r>
              <w:rPr>
                <w:rFonts w:hint="eastAsia" w:ascii="仿宋" w:hAnsi="仿宋" w:eastAsia="仿宋" w:cs="Segoe UI"/>
                <w:color w:val="000000"/>
                <w:kern w:val="0"/>
                <w:sz w:val="22"/>
                <w:szCs w:val="24"/>
              </w:rPr>
              <w:t>5</w:t>
            </w:r>
          </w:p>
        </w:tc>
        <w:tc>
          <w:tcPr>
            <w:tcW w:w="11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ascii="仿宋" w:hAnsi="仿宋" w:eastAsia="仿宋" w:cs="Segoe UI"/>
                <w:color w:val="000000"/>
                <w:kern w:val="0"/>
                <w:sz w:val="22"/>
                <w:szCs w:val="24"/>
              </w:rPr>
            </w:pPr>
            <w:r>
              <w:rPr>
                <w:rFonts w:hint="eastAsia" w:ascii="仿宋" w:hAnsi="仿宋" w:eastAsia="仿宋" w:cs="Segoe UI"/>
                <w:color w:val="000000"/>
                <w:kern w:val="0"/>
                <w:sz w:val="22"/>
                <w:szCs w:val="24"/>
              </w:rPr>
              <w:t>售后服务</w:t>
            </w:r>
          </w:p>
          <w:p>
            <w:pPr>
              <w:widowControl/>
              <w:wordWrap w:val="0"/>
              <w:spacing w:line="270" w:lineRule="atLeast"/>
              <w:jc w:val="center"/>
              <w:rPr>
                <w:rFonts w:ascii="仿宋" w:hAnsi="仿宋" w:eastAsia="仿宋" w:cs="Segoe UI"/>
                <w:color w:val="000000"/>
                <w:kern w:val="0"/>
                <w:sz w:val="22"/>
                <w:szCs w:val="24"/>
              </w:rPr>
            </w:pPr>
            <w:r>
              <w:rPr>
                <w:rFonts w:hint="eastAsia" w:ascii="仿宋" w:hAnsi="仿宋" w:eastAsia="仿宋" w:cs="Segoe UI"/>
                <w:color w:val="000000"/>
                <w:kern w:val="0"/>
                <w:sz w:val="22"/>
                <w:szCs w:val="24"/>
                <w:lang w:val="en-US" w:eastAsia="zh-CN"/>
              </w:rPr>
              <w:t>5</w:t>
            </w:r>
            <w:r>
              <w:rPr>
                <w:rFonts w:hint="eastAsia" w:ascii="仿宋" w:hAnsi="仿宋" w:eastAsia="仿宋" w:cs="Segoe UI"/>
                <w:color w:val="000000"/>
                <w:kern w:val="0"/>
                <w:sz w:val="22"/>
                <w:szCs w:val="24"/>
              </w:rPr>
              <w:t>%</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right="-107"/>
              <w:jc w:val="center"/>
              <w:rPr>
                <w:rFonts w:hint="eastAsia" w:ascii="仿宋" w:hAnsi="仿宋" w:eastAsia="仿宋" w:cs="Segoe UI"/>
                <w:color w:val="333333"/>
                <w:kern w:val="0"/>
                <w:sz w:val="22"/>
                <w:szCs w:val="24"/>
                <w:lang w:eastAsia="zh-CN"/>
              </w:rPr>
            </w:pPr>
            <w:r>
              <w:rPr>
                <w:rFonts w:hint="eastAsia" w:ascii="仿宋" w:hAnsi="仿宋" w:eastAsia="仿宋" w:cs="Segoe UI"/>
                <w:color w:val="333333"/>
                <w:kern w:val="0"/>
                <w:sz w:val="22"/>
                <w:szCs w:val="24"/>
                <w:lang w:val="en-US" w:eastAsia="zh-CN"/>
              </w:rPr>
              <w:t>5</w:t>
            </w:r>
          </w:p>
        </w:tc>
        <w:tc>
          <w:tcPr>
            <w:tcW w:w="335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numPr>
                <w:ilvl w:val="0"/>
                <w:numId w:val="0"/>
              </w:numPr>
              <w:wordWrap w:val="0"/>
              <w:spacing w:line="270" w:lineRule="atLeast"/>
              <w:rPr>
                <w:rFonts w:hint="eastAsia" w:ascii="仿宋" w:hAnsi="仿宋" w:eastAsia="仿宋" w:cs="Segoe UI"/>
                <w:color w:val="000000"/>
                <w:kern w:val="0"/>
                <w:sz w:val="22"/>
                <w:szCs w:val="24"/>
              </w:rPr>
            </w:pPr>
            <w:r>
              <w:rPr>
                <w:rFonts w:hint="eastAsia" w:ascii="仿宋" w:hAnsi="仿宋" w:eastAsia="仿宋" w:cs="Segoe UI"/>
                <w:color w:val="000000"/>
                <w:kern w:val="0"/>
                <w:sz w:val="22"/>
                <w:szCs w:val="24"/>
              </w:rPr>
              <w:t>根据投标人承诺的质量保证范围、售后服务承诺、人员培训计划、应急预案、产品彩页简介等进行综合分析比较评分。</w:t>
            </w:r>
          </w:p>
        </w:tc>
        <w:tc>
          <w:tcPr>
            <w:tcW w:w="348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ascii="仿宋" w:hAnsi="仿宋" w:eastAsia="仿宋" w:cs="Segoe UI"/>
                <w:color w:val="000000"/>
                <w:kern w:val="0"/>
                <w:sz w:val="24"/>
                <w:szCs w:val="24"/>
              </w:rPr>
            </w:pPr>
            <w:r>
              <w:rPr>
                <w:rFonts w:hint="eastAsia" w:ascii="仿宋" w:hAnsi="仿宋" w:eastAsia="仿宋" w:cs="Segoe UI"/>
                <w:color w:val="000000"/>
                <w:kern w:val="0"/>
                <w:sz w:val="24"/>
                <w:szCs w:val="24"/>
              </w:rPr>
              <w:t>未提供不得分。</w:t>
            </w:r>
          </w:p>
        </w:tc>
      </w:tr>
    </w:tbl>
    <w:p>
      <w:pPr>
        <w:widowControl/>
        <w:shd w:val="clear" w:color="auto" w:fill="FFFFFF"/>
        <w:wordWrap w:val="0"/>
        <w:jc w:val="left"/>
        <w:rPr>
          <w:rFonts w:ascii="仿宋_GB2312" w:hAnsi="Segoe UI" w:eastAsia="仿宋_GB2312" w:cs="Segoe UI"/>
          <w:color w:val="333333"/>
          <w:spacing w:val="8"/>
          <w:kern w:val="0"/>
          <w:sz w:val="24"/>
          <w:szCs w:val="24"/>
        </w:rPr>
      </w:pPr>
    </w:p>
    <w:p>
      <w:pPr>
        <w:widowControl/>
        <w:jc w:val="left"/>
        <w:rPr>
          <w:rFonts w:ascii="宋体" w:hAnsi="宋体" w:eastAsia="宋体" w:cs="Segoe UI"/>
          <w:b/>
          <w:bCs/>
          <w:color w:val="333333"/>
          <w:kern w:val="0"/>
          <w:sz w:val="28"/>
          <w:szCs w:val="28"/>
        </w:rPr>
      </w:pPr>
      <w:r>
        <w:rPr>
          <w:rFonts w:hint="eastAsia" w:cs="Segoe UI" w:asciiTheme="majorEastAsia" w:hAnsiTheme="majorEastAsia" w:eastAsiaTheme="majorEastAsia"/>
          <w:b/>
          <w:bCs/>
          <w:color w:val="333333"/>
          <w:kern w:val="0"/>
          <w:sz w:val="24"/>
          <w:szCs w:val="24"/>
        </w:rPr>
        <w:t>附件2-1：</w:t>
      </w:r>
      <w:r>
        <w:rPr>
          <w:rFonts w:hint="eastAsia" w:ascii="宋体" w:hAnsi="宋体" w:eastAsia="宋体" w:cs="Segoe UI"/>
          <w:b/>
          <w:bCs/>
          <w:color w:val="333333"/>
          <w:kern w:val="0"/>
          <w:sz w:val="28"/>
          <w:szCs w:val="28"/>
        </w:rPr>
        <w:t>价格评分比价产品明细</w:t>
      </w:r>
    </w:p>
    <w:p>
      <w:pPr>
        <w:widowControl/>
        <w:jc w:val="left"/>
        <w:rPr>
          <w:rFonts w:cs="Segoe UI" w:asciiTheme="majorEastAsia" w:hAnsiTheme="majorEastAsia" w:eastAsiaTheme="majorEastAsia"/>
          <w:b/>
          <w:bCs/>
          <w:color w:val="333333"/>
          <w:kern w:val="0"/>
          <w:sz w:val="22"/>
          <w:szCs w:val="24"/>
        </w:rPr>
      </w:pPr>
    </w:p>
    <w:tbl>
      <w:tblPr>
        <w:tblStyle w:val="5"/>
        <w:tblW w:w="5756" w:type="pct"/>
        <w:jc w:val="center"/>
        <w:tblLayout w:type="autofit"/>
        <w:tblCellMar>
          <w:top w:w="0" w:type="dxa"/>
          <w:left w:w="108" w:type="dxa"/>
          <w:bottom w:w="0" w:type="dxa"/>
          <w:right w:w="108" w:type="dxa"/>
        </w:tblCellMar>
      </w:tblPr>
      <w:tblGrid>
        <w:gridCol w:w="751"/>
        <w:gridCol w:w="3258"/>
        <w:gridCol w:w="2253"/>
        <w:gridCol w:w="964"/>
        <w:gridCol w:w="1464"/>
        <w:gridCol w:w="1121"/>
      </w:tblGrid>
      <w:tr>
        <w:tblPrEx>
          <w:tblCellMar>
            <w:top w:w="0" w:type="dxa"/>
            <w:left w:w="108" w:type="dxa"/>
            <w:bottom w:w="0" w:type="dxa"/>
            <w:right w:w="108" w:type="dxa"/>
          </w:tblCellMar>
        </w:tblPrEx>
        <w:trPr>
          <w:trHeight w:val="921" w:hRule="atLeast"/>
          <w:jc w:val="center"/>
        </w:trPr>
        <w:tc>
          <w:tcPr>
            <w:tcW w:w="38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tLeast"/>
              <w:jc w:val="center"/>
              <w:rPr>
                <w:rFonts w:ascii="仿宋" w:hAnsi="仿宋" w:eastAsia="仿宋" w:cs="Segoe UI"/>
                <w:b/>
                <w:color w:val="333333"/>
                <w:kern w:val="0"/>
                <w:sz w:val="24"/>
                <w:szCs w:val="24"/>
              </w:rPr>
            </w:pPr>
            <w:r>
              <w:rPr>
                <w:rFonts w:ascii="仿宋" w:hAnsi="仿宋" w:eastAsia="仿宋" w:cs="Segoe UI"/>
                <w:b/>
                <w:color w:val="333333"/>
                <w:kern w:val="0"/>
                <w:sz w:val="24"/>
                <w:szCs w:val="24"/>
              </w:rPr>
              <w:t>序号</w:t>
            </w:r>
          </w:p>
        </w:tc>
        <w:tc>
          <w:tcPr>
            <w:tcW w:w="1660"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tLeast"/>
              <w:jc w:val="center"/>
              <w:rPr>
                <w:rFonts w:ascii="仿宋" w:hAnsi="仿宋" w:eastAsia="仿宋" w:cs="Segoe UI"/>
                <w:b/>
                <w:color w:val="333333"/>
                <w:kern w:val="0"/>
                <w:sz w:val="24"/>
                <w:szCs w:val="24"/>
              </w:rPr>
            </w:pPr>
            <w:r>
              <w:rPr>
                <w:rFonts w:hint="eastAsia" w:ascii="仿宋" w:hAnsi="仿宋" w:eastAsia="仿宋" w:cs="Segoe UI"/>
                <w:b/>
                <w:color w:val="333333"/>
                <w:kern w:val="0"/>
                <w:sz w:val="24"/>
                <w:szCs w:val="24"/>
              </w:rPr>
              <w:t>产品</w:t>
            </w:r>
            <w:r>
              <w:rPr>
                <w:rFonts w:ascii="仿宋" w:hAnsi="仿宋" w:eastAsia="仿宋" w:cs="Segoe UI"/>
                <w:b/>
                <w:color w:val="333333"/>
                <w:kern w:val="0"/>
                <w:sz w:val="24"/>
                <w:szCs w:val="24"/>
              </w:rPr>
              <w:t>名称</w:t>
            </w:r>
          </w:p>
        </w:tc>
        <w:tc>
          <w:tcPr>
            <w:tcW w:w="1148"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tLeast"/>
              <w:jc w:val="center"/>
              <w:rPr>
                <w:rFonts w:ascii="仿宋" w:hAnsi="仿宋" w:eastAsia="仿宋" w:cs="Segoe UI"/>
                <w:b/>
                <w:color w:val="333333"/>
                <w:kern w:val="0"/>
                <w:sz w:val="24"/>
                <w:szCs w:val="24"/>
              </w:rPr>
            </w:pPr>
            <w:r>
              <w:rPr>
                <w:rFonts w:hint="eastAsia" w:ascii="仿宋" w:hAnsi="仿宋" w:eastAsia="仿宋" w:cs="Segoe UI"/>
                <w:b/>
                <w:color w:val="333333"/>
                <w:kern w:val="0"/>
                <w:sz w:val="24"/>
                <w:szCs w:val="24"/>
              </w:rPr>
              <w:t>规格型号</w:t>
            </w:r>
          </w:p>
        </w:tc>
        <w:tc>
          <w:tcPr>
            <w:tcW w:w="491"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tLeast"/>
              <w:jc w:val="center"/>
              <w:rPr>
                <w:rFonts w:ascii="仿宋" w:hAnsi="仿宋" w:eastAsia="仿宋" w:cs="Segoe UI"/>
                <w:b/>
                <w:color w:val="333333"/>
                <w:kern w:val="0"/>
                <w:sz w:val="24"/>
                <w:szCs w:val="24"/>
              </w:rPr>
            </w:pPr>
            <w:r>
              <w:rPr>
                <w:rFonts w:hint="eastAsia" w:ascii="仿宋" w:hAnsi="仿宋" w:eastAsia="仿宋" w:cs="Segoe UI"/>
                <w:b/>
                <w:color w:val="333333"/>
                <w:kern w:val="0"/>
                <w:sz w:val="24"/>
                <w:szCs w:val="24"/>
              </w:rPr>
              <w:t>单价（元）</w:t>
            </w:r>
          </w:p>
        </w:tc>
        <w:tc>
          <w:tcPr>
            <w:tcW w:w="744"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tLeast"/>
              <w:jc w:val="center"/>
              <w:rPr>
                <w:rFonts w:ascii="仿宋" w:hAnsi="仿宋" w:eastAsia="仿宋" w:cs="Segoe UI"/>
                <w:b/>
                <w:color w:val="333333"/>
                <w:kern w:val="0"/>
                <w:sz w:val="24"/>
                <w:szCs w:val="24"/>
              </w:rPr>
            </w:pPr>
            <w:r>
              <w:rPr>
                <w:rFonts w:hint="eastAsia" w:ascii="仿宋" w:hAnsi="仿宋" w:eastAsia="仿宋" w:cs="Segoe UI"/>
                <w:b/>
                <w:color w:val="333333"/>
                <w:kern w:val="0"/>
                <w:sz w:val="24"/>
                <w:szCs w:val="24"/>
              </w:rPr>
              <w:t>预估年度</w:t>
            </w:r>
          </w:p>
          <w:p>
            <w:pPr>
              <w:spacing w:line="240" w:lineRule="atLeast"/>
              <w:jc w:val="center"/>
              <w:rPr>
                <w:rFonts w:ascii="仿宋" w:hAnsi="仿宋" w:eastAsia="仿宋" w:cs="Segoe UI"/>
                <w:b/>
                <w:color w:val="333333"/>
                <w:kern w:val="0"/>
                <w:sz w:val="24"/>
                <w:szCs w:val="24"/>
              </w:rPr>
            </w:pPr>
            <w:r>
              <w:rPr>
                <w:rFonts w:hint="eastAsia" w:ascii="仿宋" w:hAnsi="仿宋" w:eastAsia="仿宋" w:cs="Segoe UI"/>
                <w:b/>
                <w:color w:val="333333"/>
                <w:kern w:val="0"/>
                <w:sz w:val="24"/>
                <w:szCs w:val="24"/>
              </w:rPr>
              <w:t>采购</w:t>
            </w:r>
            <w:r>
              <w:rPr>
                <w:rFonts w:ascii="仿宋" w:hAnsi="仿宋" w:eastAsia="仿宋" w:cs="Segoe UI"/>
                <w:b/>
                <w:color w:val="333333"/>
                <w:kern w:val="0"/>
                <w:sz w:val="24"/>
                <w:szCs w:val="24"/>
              </w:rPr>
              <w:t>数量</w:t>
            </w:r>
          </w:p>
        </w:tc>
        <w:tc>
          <w:tcPr>
            <w:tcW w:w="571"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tLeast"/>
              <w:jc w:val="center"/>
              <w:rPr>
                <w:rFonts w:ascii="仿宋" w:hAnsi="仿宋" w:eastAsia="仿宋" w:cs="Segoe UI"/>
                <w:b/>
                <w:color w:val="333333"/>
                <w:kern w:val="0"/>
                <w:sz w:val="24"/>
                <w:szCs w:val="24"/>
              </w:rPr>
            </w:pPr>
            <w:r>
              <w:rPr>
                <w:rFonts w:hint="eastAsia" w:ascii="仿宋" w:hAnsi="仿宋" w:eastAsia="仿宋" w:cs="Segoe UI"/>
                <w:b/>
                <w:color w:val="333333"/>
                <w:kern w:val="0"/>
                <w:sz w:val="24"/>
                <w:szCs w:val="24"/>
              </w:rPr>
              <w:t>总价（元）</w:t>
            </w:r>
          </w:p>
        </w:tc>
      </w:tr>
      <w:tr>
        <w:tblPrEx>
          <w:tblCellMar>
            <w:top w:w="0" w:type="dxa"/>
            <w:left w:w="108" w:type="dxa"/>
            <w:bottom w:w="0" w:type="dxa"/>
            <w:right w:w="108" w:type="dxa"/>
          </w:tblCellMar>
        </w:tblPrEx>
        <w:trPr>
          <w:trHeight w:val="461" w:hRule="atLeast"/>
          <w:jc w:val="center"/>
        </w:trPr>
        <w:tc>
          <w:tcPr>
            <w:tcW w:w="38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rPr>
            </w:pPr>
            <w:r>
              <w:rPr>
                <w:rFonts w:ascii="仿宋" w:hAnsi="仿宋" w:eastAsia="仿宋" w:cs="Arial"/>
                <w:color w:val="000000"/>
                <w:kern w:val="0"/>
                <w:sz w:val="24"/>
                <w:szCs w:val="24"/>
              </w:rPr>
              <w:t>1</w:t>
            </w:r>
          </w:p>
        </w:tc>
        <w:tc>
          <w:tcPr>
            <w:tcW w:w="1660" w:type="pct"/>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sz w:val="24"/>
                <w:szCs w:val="24"/>
                <w:lang w:eastAsia="zh-CN"/>
              </w:rPr>
            </w:pPr>
            <w:r>
              <w:rPr>
                <w:rFonts w:hint="eastAsia" w:ascii="仿宋" w:hAnsi="仿宋" w:eastAsia="仿宋" w:cs="Segoe UI"/>
                <w:kern w:val="0"/>
                <w:sz w:val="24"/>
                <w:szCs w:val="24"/>
                <w:lang w:eastAsia="zh-CN"/>
              </w:rPr>
              <w:t>医用超声耦合剂</w:t>
            </w:r>
          </w:p>
        </w:tc>
        <w:tc>
          <w:tcPr>
            <w:tcW w:w="1148" w:type="pct"/>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sz w:val="24"/>
                <w:szCs w:val="24"/>
                <w:lang w:val="en-US" w:eastAsia="zh-CN"/>
              </w:rPr>
            </w:pPr>
            <w:r>
              <w:rPr>
                <w:rFonts w:hint="eastAsia" w:ascii="仿宋" w:hAnsi="仿宋" w:eastAsia="仿宋" w:cs="Segoe UI"/>
                <w:kern w:val="0"/>
                <w:sz w:val="24"/>
                <w:szCs w:val="24"/>
                <w:lang w:val="en-US" w:eastAsia="zh-CN"/>
              </w:rPr>
              <w:t>250g</w:t>
            </w:r>
          </w:p>
        </w:tc>
        <w:tc>
          <w:tcPr>
            <w:tcW w:w="49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rPr>
            </w:pPr>
          </w:p>
        </w:tc>
        <w:tc>
          <w:tcPr>
            <w:tcW w:w="744" w:type="pct"/>
            <w:tcBorders>
              <w:top w:val="nil"/>
              <w:left w:val="nil"/>
              <w:bottom w:val="single" w:color="auto" w:sz="4" w:space="0"/>
              <w:right w:val="single" w:color="auto" w:sz="4" w:space="0"/>
            </w:tcBorders>
            <w:shd w:val="clear" w:color="000000" w:fill="FFFFFF"/>
            <w:vAlign w:val="center"/>
          </w:tcPr>
          <w:p>
            <w:pPr>
              <w:ind w:left="45"/>
              <w:jc w:val="center"/>
              <w:rPr>
                <w:rFonts w:hint="default" w:ascii="仿宋" w:hAnsi="仿宋" w:eastAsia="仿宋" w:cs="Arial"/>
                <w:color w:val="000000"/>
                <w:kern w:val="0"/>
                <w:sz w:val="24"/>
                <w:szCs w:val="24"/>
                <w:lang w:val="en-US" w:eastAsia="zh-CN"/>
              </w:rPr>
            </w:pPr>
            <w:r>
              <w:rPr>
                <w:rFonts w:hint="eastAsia" w:ascii="仿宋" w:hAnsi="仿宋" w:eastAsia="仿宋" w:cs="Arial"/>
                <w:color w:val="000000"/>
                <w:kern w:val="0"/>
                <w:sz w:val="24"/>
                <w:szCs w:val="24"/>
                <w:lang w:val="en-US" w:eastAsia="zh-CN"/>
              </w:rPr>
              <w:t>15000</w:t>
            </w:r>
          </w:p>
        </w:tc>
        <w:tc>
          <w:tcPr>
            <w:tcW w:w="57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rPr>
            </w:pPr>
          </w:p>
        </w:tc>
      </w:tr>
      <w:tr>
        <w:tblPrEx>
          <w:tblCellMar>
            <w:top w:w="0" w:type="dxa"/>
            <w:left w:w="108" w:type="dxa"/>
            <w:bottom w:w="0" w:type="dxa"/>
            <w:right w:w="108" w:type="dxa"/>
          </w:tblCellMar>
        </w:tblPrEx>
        <w:trPr>
          <w:trHeight w:val="461" w:hRule="atLeast"/>
          <w:jc w:val="center"/>
        </w:trPr>
        <w:tc>
          <w:tcPr>
            <w:tcW w:w="38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rPr>
            </w:pPr>
            <w:r>
              <w:rPr>
                <w:rFonts w:ascii="仿宋" w:hAnsi="仿宋" w:eastAsia="仿宋" w:cs="Arial"/>
                <w:color w:val="000000"/>
                <w:kern w:val="0"/>
                <w:sz w:val="24"/>
                <w:szCs w:val="24"/>
              </w:rPr>
              <w:t>2</w:t>
            </w:r>
          </w:p>
        </w:tc>
        <w:tc>
          <w:tcPr>
            <w:tcW w:w="1660" w:type="pct"/>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sz w:val="24"/>
                <w:szCs w:val="24"/>
                <w:lang w:eastAsia="zh-CN"/>
              </w:rPr>
            </w:pPr>
            <w:r>
              <w:rPr>
                <w:rFonts w:hint="eastAsia" w:ascii="仿宋" w:hAnsi="仿宋" w:eastAsia="仿宋" w:cs="Segoe UI"/>
                <w:kern w:val="0"/>
                <w:sz w:val="24"/>
                <w:szCs w:val="24"/>
                <w:lang w:eastAsia="zh-CN"/>
              </w:rPr>
              <w:t>消毒型医用超声耦合剂</w:t>
            </w:r>
          </w:p>
        </w:tc>
        <w:tc>
          <w:tcPr>
            <w:tcW w:w="1148" w:type="pct"/>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sz w:val="24"/>
                <w:szCs w:val="24"/>
                <w:lang w:val="en-US" w:eastAsia="zh-CN"/>
              </w:rPr>
            </w:pPr>
            <w:r>
              <w:rPr>
                <w:rFonts w:hint="eastAsia" w:ascii="仿宋" w:hAnsi="仿宋" w:eastAsia="仿宋" w:cs="Segoe UI"/>
                <w:kern w:val="0"/>
                <w:sz w:val="24"/>
                <w:szCs w:val="24"/>
                <w:lang w:val="en-US" w:eastAsia="zh-CN"/>
              </w:rPr>
              <w:t>12g</w:t>
            </w:r>
          </w:p>
        </w:tc>
        <w:tc>
          <w:tcPr>
            <w:tcW w:w="49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rPr>
            </w:pPr>
          </w:p>
        </w:tc>
        <w:tc>
          <w:tcPr>
            <w:tcW w:w="744" w:type="pct"/>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cs="Arial"/>
                <w:color w:val="000000"/>
                <w:kern w:val="0"/>
                <w:sz w:val="24"/>
                <w:szCs w:val="24"/>
                <w:lang w:val="en-US" w:eastAsia="zh-CN"/>
              </w:rPr>
            </w:pPr>
            <w:r>
              <w:rPr>
                <w:rFonts w:hint="eastAsia" w:ascii="仿宋" w:hAnsi="仿宋" w:eastAsia="仿宋" w:cs="Arial"/>
                <w:color w:val="000000"/>
                <w:kern w:val="0"/>
                <w:sz w:val="24"/>
                <w:szCs w:val="24"/>
                <w:lang w:val="en-US" w:eastAsia="zh-CN"/>
              </w:rPr>
              <w:t>500</w:t>
            </w:r>
          </w:p>
        </w:tc>
        <w:tc>
          <w:tcPr>
            <w:tcW w:w="57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rPr>
            </w:pPr>
          </w:p>
        </w:tc>
      </w:tr>
      <w:tr>
        <w:tblPrEx>
          <w:tblCellMar>
            <w:top w:w="0" w:type="dxa"/>
            <w:left w:w="108" w:type="dxa"/>
            <w:bottom w:w="0" w:type="dxa"/>
            <w:right w:w="108" w:type="dxa"/>
          </w:tblCellMar>
        </w:tblPrEx>
        <w:trPr>
          <w:trHeight w:val="461" w:hRule="atLeast"/>
          <w:jc w:val="center"/>
        </w:trPr>
        <w:tc>
          <w:tcPr>
            <w:tcW w:w="38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Arial"/>
                <w:color w:val="000000"/>
                <w:kern w:val="0"/>
                <w:sz w:val="24"/>
                <w:szCs w:val="24"/>
                <w:lang w:val="en-US" w:eastAsia="zh-CN"/>
              </w:rPr>
            </w:pPr>
            <w:r>
              <w:rPr>
                <w:rFonts w:hint="eastAsia" w:ascii="仿宋" w:hAnsi="仿宋" w:eastAsia="仿宋" w:cs="Arial"/>
                <w:color w:val="000000"/>
                <w:kern w:val="0"/>
                <w:sz w:val="24"/>
                <w:szCs w:val="24"/>
                <w:lang w:val="en-US" w:eastAsia="zh-CN"/>
              </w:rPr>
              <w:t>3</w:t>
            </w:r>
          </w:p>
        </w:tc>
        <w:tc>
          <w:tcPr>
            <w:tcW w:w="1660" w:type="pct"/>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Segoe UI"/>
                <w:kern w:val="0"/>
                <w:sz w:val="24"/>
                <w:szCs w:val="24"/>
                <w:lang w:eastAsia="zh-CN"/>
              </w:rPr>
            </w:pPr>
            <w:r>
              <w:rPr>
                <w:rFonts w:hint="eastAsia" w:ascii="仿宋" w:hAnsi="仿宋" w:eastAsia="仿宋" w:cs="Segoe UI"/>
                <w:kern w:val="0"/>
                <w:sz w:val="24"/>
                <w:szCs w:val="24"/>
                <w:lang w:eastAsia="zh-CN"/>
              </w:rPr>
              <w:t>消毒型医用超声耦合剂</w:t>
            </w:r>
          </w:p>
        </w:tc>
        <w:tc>
          <w:tcPr>
            <w:tcW w:w="1148" w:type="pct"/>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cs="Segoe UI"/>
                <w:kern w:val="0"/>
                <w:sz w:val="24"/>
                <w:szCs w:val="24"/>
                <w:lang w:val="en-US" w:eastAsia="zh-CN"/>
              </w:rPr>
            </w:pPr>
            <w:r>
              <w:rPr>
                <w:rFonts w:hint="eastAsia" w:ascii="仿宋" w:hAnsi="仿宋" w:eastAsia="仿宋" w:cs="Segoe UI"/>
                <w:kern w:val="0"/>
                <w:sz w:val="24"/>
                <w:szCs w:val="24"/>
                <w:lang w:val="en-US" w:eastAsia="zh-CN"/>
              </w:rPr>
              <w:t>250g</w:t>
            </w:r>
          </w:p>
        </w:tc>
        <w:tc>
          <w:tcPr>
            <w:tcW w:w="49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rPr>
            </w:pPr>
          </w:p>
        </w:tc>
        <w:tc>
          <w:tcPr>
            <w:tcW w:w="744" w:type="pct"/>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cs="Arial"/>
                <w:color w:val="000000"/>
                <w:kern w:val="0"/>
                <w:sz w:val="24"/>
                <w:szCs w:val="24"/>
                <w:lang w:val="en-US" w:eastAsia="zh-CN"/>
              </w:rPr>
            </w:pPr>
            <w:r>
              <w:rPr>
                <w:rFonts w:hint="eastAsia" w:ascii="仿宋" w:hAnsi="仿宋" w:eastAsia="仿宋" w:cs="Arial"/>
                <w:color w:val="000000"/>
                <w:kern w:val="0"/>
                <w:sz w:val="24"/>
                <w:szCs w:val="24"/>
                <w:lang w:val="en-US" w:eastAsia="zh-CN"/>
              </w:rPr>
              <w:t>1700</w:t>
            </w:r>
          </w:p>
        </w:tc>
        <w:tc>
          <w:tcPr>
            <w:tcW w:w="57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rPr>
            </w:pPr>
          </w:p>
        </w:tc>
      </w:tr>
      <w:tr>
        <w:tblPrEx>
          <w:tblCellMar>
            <w:top w:w="0" w:type="dxa"/>
            <w:left w:w="108" w:type="dxa"/>
            <w:bottom w:w="0" w:type="dxa"/>
            <w:right w:w="108" w:type="dxa"/>
          </w:tblCellMar>
        </w:tblPrEx>
        <w:trPr>
          <w:trHeight w:val="461" w:hRule="atLeast"/>
          <w:jc w:val="center"/>
        </w:trPr>
        <w:tc>
          <w:tcPr>
            <w:tcW w:w="38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Arial"/>
                <w:color w:val="000000"/>
                <w:kern w:val="0"/>
                <w:sz w:val="24"/>
                <w:szCs w:val="24"/>
                <w:lang w:eastAsia="zh-CN"/>
              </w:rPr>
            </w:pPr>
            <w:r>
              <w:rPr>
                <w:rFonts w:hint="eastAsia" w:ascii="仿宋" w:hAnsi="仿宋" w:eastAsia="仿宋" w:cs="Arial"/>
                <w:color w:val="000000"/>
                <w:kern w:val="0"/>
                <w:sz w:val="24"/>
                <w:szCs w:val="24"/>
                <w:lang w:val="en-US" w:eastAsia="zh-CN"/>
              </w:rPr>
              <w:t>4</w:t>
            </w:r>
          </w:p>
        </w:tc>
        <w:tc>
          <w:tcPr>
            <w:tcW w:w="1660" w:type="pct"/>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杀菌型医用超声耦合剂</w:t>
            </w:r>
          </w:p>
        </w:tc>
        <w:tc>
          <w:tcPr>
            <w:tcW w:w="1148" w:type="pct"/>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sz w:val="24"/>
                <w:szCs w:val="24"/>
                <w:lang w:val="en-US" w:eastAsia="zh-CN"/>
              </w:rPr>
            </w:pPr>
            <w:r>
              <w:rPr>
                <w:rFonts w:hint="eastAsia" w:ascii="仿宋" w:hAnsi="仿宋" w:eastAsia="仿宋" w:cs="Segoe UI"/>
                <w:kern w:val="0"/>
                <w:sz w:val="24"/>
                <w:szCs w:val="24"/>
                <w:lang w:val="en-US" w:eastAsia="zh-CN"/>
              </w:rPr>
              <w:t>12g</w:t>
            </w:r>
          </w:p>
        </w:tc>
        <w:tc>
          <w:tcPr>
            <w:tcW w:w="49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rPr>
            </w:pPr>
          </w:p>
        </w:tc>
        <w:tc>
          <w:tcPr>
            <w:tcW w:w="744" w:type="pct"/>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cs="Arial"/>
                <w:color w:val="000000"/>
                <w:kern w:val="0"/>
                <w:sz w:val="24"/>
                <w:szCs w:val="24"/>
                <w:lang w:val="en-US" w:eastAsia="zh-CN"/>
              </w:rPr>
            </w:pPr>
            <w:r>
              <w:rPr>
                <w:rFonts w:hint="eastAsia" w:ascii="仿宋" w:hAnsi="仿宋" w:eastAsia="仿宋" w:cs="Arial"/>
                <w:color w:val="000000"/>
                <w:kern w:val="0"/>
                <w:sz w:val="24"/>
                <w:szCs w:val="24"/>
                <w:lang w:val="en-US" w:eastAsia="zh-CN"/>
              </w:rPr>
              <w:t>100</w:t>
            </w:r>
          </w:p>
        </w:tc>
        <w:tc>
          <w:tcPr>
            <w:tcW w:w="57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rPr>
            </w:pPr>
          </w:p>
        </w:tc>
      </w:tr>
      <w:tr>
        <w:tblPrEx>
          <w:tblCellMar>
            <w:top w:w="0" w:type="dxa"/>
            <w:left w:w="108" w:type="dxa"/>
            <w:bottom w:w="0" w:type="dxa"/>
            <w:right w:w="108" w:type="dxa"/>
          </w:tblCellMar>
        </w:tblPrEx>
        <w:trPr>
          <w:trHeight w:val="461" w:hRule="atLeast"/>
          <w:jc w:val="center"/>
        </w:trPr>
        <w:tc>
          <w:tcPr>
            <w:tcW w:w="4428" w:type="pct"/>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合计总价（元）</w:t>
            </w:r>
          </w:p>
        </w:tc>
        <w:tc>
          <w:tcPr>
            <w:tcW w:w="57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 w:val="24"/>
                <w:szCs w:val="24"/>
              </w:rPr>
            </w:pP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firstLineChars="20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9775" w:type="dxa"/>
        <w:tblInd w:w="0" w:type="dxa"/>
        <w:shd w:val="clear" w:color="auto" w:fill="FFFFFF"/>
        <w:tblLayout w:type="autofit"/>
        <w:tblCellMar>
          <w:top w:w="0" w:type="dxa"/>
          <w:left w:w="0" w:type="dxa"/>
          <w:bottom w:w="0" w:type="dxa"/>
          <w:right w:w="0" w:type="dxa"/>
        </w:tblCellMar>
      </w:tblPr>
      <w:tblGrid>
        <w:gridCol w:w="466"/>
        <w:gridCol w:w="1036"/>
        <w:gridCol w:w="1069"/>
        <w:gridCol w:w="585"/>
        <w:gridCol w:w="1063"/>
        <w:gridCol w:w="567"/>
        <w:gridCol w:w="1276"/>
        <w:gridCol w:w="850"/>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0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5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10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850"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p>
        </w:tc>
        <w:tc>
          <w:tcPr>
            <w:tcW w:w="936" w:type="dxa"/>
            <w:tcBorders>
              <w:top w:val="single" w:color="auto" w:sz="8"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120" w:firstLineChars="50"/>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医保</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编码</w:t>
            </w: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0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bookmarkStart w:id="1" w:name="_GoBack"/>
      <w:bookmarkEnd w:id="1"/>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4D64"/>
    <w:rsid w:val="00043546"/>
    <w:rsid w:val="000438E7"/>
    <w:rsid w:val="000748BC"/>
    <w:rsid w:val="00080125"/>
    <w:rsid w:val="0008179A"/>
    <w:rsid w:val="0008198E"/>
    <w:rsid w:val="00091DF5"/>
    <w:rsid w:val="00093551"/>
    <w:rsid w:val="000A2E3E"/>
    <w:rsid w:val="000A4E59"/>
    <w:rsid w:val="000B62D3"/>
    <w:rsid w:val="000B7345"/>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55D8"/>
    <w:rsid w:val="002F6046"/>
    <w:rsid w:val="002F66C5"/>
    <w:rsid w:val="00306264"/>
    <w:rsid w:val="0030789D"/>
    <w:rsid w:val="0031518D"/>
    <w:rsid w:val="00316C04"/>
    <w:rsid w:val="003178E2"/>
    <w:rsid w:val="00317ADE"/>
    <w:rsid w:val="00322FB8"/>
    <w:rsid w:val="003248E5"/>
    <w:rsid w:val="003320F6"/>
    <w:rsid w:val="00332CD5"/>
    <w:rsid w:val="00335A3B"/>
    <w:rsid w:val="00341E1E"/>
    <w:rsid w:val="003636D3"/>
    <w:rsid w:val="00364A1D"/>
    <w:rsid w:val="00371826"/>
    <w:rsid w:val="00375273"/>
    <w:rsid w:val="0037583B"/>
    <w:rsid w:val="003A2C67"/>
    <w:rsid w:val="003B07D3"/>
    <w:rsid w:val="003D2F0C"/>
    <w:rsid w:val="00406809"/>
    <w:rsid w:val="00411A4B"/>
    <w:rsid w:val="0041753A"/>
    <w:rsid w:val="00424DEB"/>
    <w:rsid w:val="00427D8B"/>
    <w:rsid w:val="004408B8"/>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5FD0"/>
    <w:rsid w:val="00A86DB1"/>
    <w:rsid w:val="00A90E3D"/>
    <w:rsid w:val="00A9223E"/>
    <w:rsid w:val="00A97427"/>
    <w:rsid w:val="00AA4BD9"/>
    <w:rsid w:val="00AB3127"/>
    <w:rsid w:val="00AB6CBD"/>
    <w:rsid w:val="00AC4BFD"/>
    <w:rsid w:val="00AD0D2B"/>
    <w:rsid w:val="00AD6B6A"/>
    <w:rsid w:val="00AE14A6"/>
    <w:rsid w:val="00AE2403"/>
    <w:rsid w:val="00AF1410"/>
    <w:rsid w:val="00AF1626"/>
    <w:rsid w:val="00AF2B15"/>
    <w:rsid w:val="00B1151E"/>
    <w:rsid w:val="00B14A60"/>
    <w:rsid w:val="00B155B7"/>
    <w:rsid w:val="00B20822"/>
    <w:rsid w:val="00B22A4C"/>
    <w:rsid w:val="00B230BB"/>
    <w:rsid w:val="00B45269"/>
    <w:rsid w:val="00B521F0"/>
    <w:rsid w:val="00B54AAD"/>
    <w:rsid w:val="00B63F70"/>
    <w:rsid w:val="00B70C15"/>
    <w:rsid w:val="00B71C0F"/>
    <w:rsid w:val="00B97955"/>
    <w:rsid w:val="00B97FD5"/>
    <w:rsid w:val="00BA1130"/>
    <w:rsid w:val="00BA3326"/>
    <w:rsid w:val="00BA6B91"/>
    <w:rsid w:val="00BB0352"/>
    <w:rsid w:val="00BB1E8E"/>
    <w:rsid w:val="00BC071B"/>
    <w:rsid w:val="00BE1EEA"/>
    <w:rsid w:val="00BE3C7E"/>
    <w:rsid w:val="00BE3F17"/>
    <w:rsid w:val="00BE7321"/>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70970"/>
    <w:rsid w:val="00F76ECB"/>
    <w:rsid w:val="00F77022"/>
    <w:rsid w:val="00F90984"/>
    <w:rsid w:val="00F9258E"/>
    <w:rsid w:val="00F9486E"/>
    <w:rsid w:val="00F94B87"/>
    <w:rsid w:val="00F95593"/>
    <w:rsid w:val="00FC5D1F"/>
    <w:rsid w:val="00FD1F4A"/>
    <w:rsid w:val="00FE1C69"/>
    <w:rsid w:val="00FF37D5"/>
    <w:rsid w:val="00FF7EF9"/>
    <w:rsid w:val="0C41127C"/>
    <w:rsid w:val="0C426182"/>
    <w:rsid w:val="0C992E66"/>
    <w:rsid w:val="45CC01FF"/>
    <w:rsid w:val="53EB3896"/>
    <w:rsid w:val="72685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48251-9BD3-4547-B524-31B6624CAA8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725</Words>
  <Characters>4134</Characters>
  <Lines>34</Lines>
  <Paragraphs>9</Paragraphs>
  <TotalTime>2</TotalTime>
  <ScaleCrop>false</ScaleCrop>
  <LinksUpToDate>false</LinksUpToDate>
  <CharactersWithSpaces>4850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dcterms:modified xsi:type="dcterms:W3CDTF">2022-03-03T00:44:55Z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EC63BFBCE43143EA9B84E4C2101A808F</vt:lpwstr>
  </property>
</Properties>
</file>