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w:t>
      </w:r>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产前专用细胞培养基（第一批）</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外周血淋巴细胞培养基</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lang w:val="en-US" w:eastAsia="zh-CN"/>
              </w:rPr>
              <w:t>3540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用途;用于外周血淋巴细胞培养，仅用于细胞增殖培养，不具备对细胞的选择、诱导、分化功能，培养后的细胞用于体外诊断；</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1.装量差异限度∶±3%；</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2.外观∶澄清液体；</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3.pH值∶7.2-7.6；</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4.渗透压（mOsm/kg）∶280-340；</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5.微生物∶无菌；</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6.内毒素（EU/ml）∶&lt;15；</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*7.羊水细胞生长实验∶细胞倍增指数＞1.5；</w:t>
            </w:r>
          </w:p>
          <w:p>
            <w:pPr>
              <w:jc w:val="both"/>
              <w:rPr>
                <w:rFonts w:hint="eastAsia" w:ascii="仿宋" w:hAnsi="仿宋" w:eastAsia="仿宋" w:cs="仿宋"/>
                <w:color w:val="000000"/>
                <w:kern w:val="0"/>
                <w:sz w:val="21"/>
                <w:szCs w:val="21"/>
                <w:lang w:eastAsia="zh-CN"/>
              </w:rPr>
            </w:pPr>
            <w:r>
              <w:rPr>
                <w:rFonts w:hint="eastAsia" w:ascii="仿宋" w:hAnsi="仿宋" w:eastAsia="仿宋" w:cs="仿宋"/>
                <w:sz w:val="21"/>
                <w:szCs w:val="21"/>
                <w:lang w:val="en-US" w:eastAsia="zh-CN"/>
              </w:rPr>
              <w:t xml:space="preserve">   </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both"/>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lang w:val="en-US" w:eastAsia="zh-CN"/>
              </w:rPr>
              <w:t>羊水细胞培养基</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lang w:val="en-US" w:eastAsia="zh-CN"/>
              </w:rPr>
              <w:t xml:space="preserve"> 130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用途：用于羊水细胞培养，仅用于细胞增殖培养，不具备对细胞的选择、诱导、分化功能，培养后的细胞用于体外诊断；</w:t>
            </w:r>
            <w:bookmarkStart w:id="1" w:name="_GoBack"/>
            <w:bookmarkEnd w:id="1"/>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1.外观：澄粉红色的清澈透明液体，无混浊；</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2.净含量：净含量不少于标示含量的95%；</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3.微生物限度：无菌；</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4.PH值：PH值为7.2-8.4；</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*5.生物活性：细胞贴壁岛数应≥2个；</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6.批间差：PH值的批间差应符合：PH≤1.0；</w:t>
            </w:r>
          </w:p>
          <w:p>
            <w:pPr>
              <w:jc w:val="both"/>
              <w:rPr>
                <w:rFonts w:hint="eastAsia" w:ascii="仿宋" w:hAnsi="仿宋" w:eastAsia="仿宋" w:cs="仿宋"/>
                <w:color w:val="000000"/>
                <w:kern w:val="0"/>
                <w:sz w:val="21"/>
                <w:szCs w:val="21"/>
                <w:lang w:eastAsia="zh-CN"/>
              </w:rPr>
            </w:pPr>
            <w:r>
              <w:rPr>
                <w:rFonts w:hint="eastAsia" w:ascii="仿宋" w:hAnsi="仿宋" w:eastAsia="仿宋" w:cs="仿宋"/>
                <w:sz w:val="21"/>
                <w:szCs w:val="21"/>
                <w:lang w:val="en-US" w:eastAsia="zh-CN"/>
              </w:rPr>
              <w:t>7.有效期：≥12个月；</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cs="Segoe UI" w:asciiTheme="minorEastAsia" w:hAnsiTheme="minorEastAsia"/>
                <w:kern w:val="0"/>
                <w:szCs w:val="21"/>
              </w:rPr>
            </w:pPr>
            <w:r>
              <w:rPr>
                <w:rFonts w:hint="eastAsia" w:ascii="宋体" w:hAnsi="宋体" w:cs="Segoe UI"/>
                <w:kern w:val="0"/>
                <w:sz w:val="18"/>
                <w:szCs w:val="18"/>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本采购项目外周血淋巴细胞培养基仅按照5ml/瓶规格进行价格评分；羊水细胞培养基仅按照100ml/瓶规格进行价格评分，其他规格价格不作价格评分</w:t>
            </w:r>
            <w:r>
              <w:rPr>
                <w:rFonts w:hint="eastAsia" w:ascii="宋体" w:hAnsi="宋体" w:eastAsia="宋体" w:cs="宋体"/>
                <w:kern w:val="0"/>
                <w:sz w:val="18"/>
                <w:szCs w:val="18"/>
              </w:rPr>
              <w:t>；</w:t>
            </w: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40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40</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非“*”条款技术参数不满足招标文件要求（负偏离），一次扣5分，“*”条款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878" w:hRule="atLeast"/>
        </w:trPr>
        <w:tc>
          <w:tcPr>
            <w:tcW w:w="709"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15</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eastAsia="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最多10分。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926" w:hRule="atLeast"/>
        </w:trPr>
        <w:tc>
          <w:tcPr>
            <w:tcW w:w="709"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333333"/>
                <w:kern w:val="0"/>
                <w:szCs w:val="21"/>
              </w:rPr>
            </w:pPr>
          </w:p>
        </w:tc>
        <w:tc>
          <w:tcPr>
            <w:tcW w:w="1276" w:type="dxa"/>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1</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sz w:val="18"/>
                <w:szCs w:val="18"/>
                <w:lang w:val="en-US" w:eastAsia="zh-CN"/>
              </w:rPr>
              <w:t>产品为</w:t>
            </w:r>
            <w:r>
              <w:rPr>
                <w:rFonts w:hint="eastAsia" w:ascii="宋体" w:hAnsi="宋体" w:eastAsia="宋体" w:cs="宋体"/>
                <w:b w:val="0"/>
                <w:bCs/>
                <w:spacing w:val="8"/>
                <w:kern w:val="0"/>
                <w:sz w:val="18"/>
                <w:szCs w:val="18"/>
              </w:rPr>
              <w:t>四川省药械集中采购及医药价格监管平台挂网产品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提供产品挂网商品代码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医保编码</w:t>
            </w:r>
            <w:r>
              <w:rPr>
                <w:rFonts w:hint="eastAsia" w:ascii="宋体" w:hAnsi="宋体" w:eastAsia="宋体" w:cs="宋体"/>
                <w:b w:val="0"/>
                <w:bCs/>
                <w:spacing w:val="8"/>
                <w:kern w:val="0"/>
                <w:sz w:val="18"/>
                <w:szCs w:val="18"/>
                <w:lang w:eastAsia="zh-CN"/>
              </w:rPr>
              <w:t>。</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p>
        </w:tc>
      </w:tr>
      <w:tr>
        <w:tblPrEx>
          <w:tblCellMar>
            <w:top w:w="0" w:type="dxa"/>
            <w:left w:w="0" w:type="dxa"/>
            <w:bottom w:w="0" w:type="dxa"/>
            <w:right w:w="0" w:type="dxa"/>
          </w:tblCellMar>
        </w:tblPrEx>
        <w:trPr>
          <w:trHeight w:val="1066" w:hRule="atLeast"/>
        </w:trPr>
        <w:tc>
          <w:tcPr>
            <w:tcW w:w="709"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color w:val="000000"/>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1146"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eastAsiaTheme="minorEastAsia"/>
                <w:color w:val="333333"/>
                <w:kern w:val="0"/>
                <w:szCs w:val="21"/>
                <w:lang w:eastAsia="zh-CN"/>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cs="Segoe UI" w:asciiTheme="minorEastAsia" w:hAnsiTheme="minorEastAsia"/>
                <w:color w:val="000000"/>
                <w:kern w:val="0"/>
                <w:szCs w:val="21"/>
              </w:rPr>
            </w:pPr>
            <w:r>
              <w:rPr>
                <w:rFonts w:hint="eastAsia" w:ascii="宋体" w:hAnsi="宋体" w:eastAsia="宋体" w:cs="Segoe UI"/>
                <w:color w:val="000000"/>
                <w:kern w:val="0"/>
                <w:sz w:val="18"/>
                <w:szCs w:val="18"/>
                <w:lang w:val="en-US" w:eastAsia="zh-CN"/>
              </w:rPr>
              <w:t>每提供一项得2分，最多得10分。</w:t>
            </w:r>
          </w:p>
        </w:tc>
      </w:tr>
      <w:tr>
        <w:tblPrEx>
          <w:shd w:val="clear" w:color="auto" w:fill="FFFFFF"/>
          <w:tblCellMar>
            <w:top w:w="0" w:type="dxa"/>
            <w:left w:w="0" w:type="dxa"/>
            <w:bottom w:w="0" w:type="dxa"/>
            <w:right w:w="0" w:type="dxa"/>
          </w:tblCellMar>
        </w:tblPrEx>
        <w:trPr>
          <w:trHeight w:val="712"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5</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5</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C281A5E"/>
    <w:rsid w:val="0CE66A79"/>
    <w:rsid w:val="0D092903"/>
    <w:rsid w:val="0F285070"/>
    <w:rsid w:val="0F2B2192"/>
    <w:rsid w:val="10432BC3"/>
    <w:rsid w:val="135D53CE"/>
    <w:rsid w:val="14C56B2E"/>
    <w:rsid w:val="16526B10"/>
    <w:rsid w:val="17A4687A"/>
    <w:rsid w:val="182C7847"/>
    <w:rsid w:val="1A543468"/>
    <w:rsid w:val="1C063229"/>
    <w:rsid w:val="1D617858"/>
    <w:rsid w:val="208D33E5"/>
    <w:rsid w:val="20FA2EB7"/>
    <w:rsid w:val="21F33882"/>
    <w:rsid w:val="254802B2"/>
    <w:rsid w:val="25AA75E5"/>
    <w:rsid w:val="268741DA"/>
    <w:rsid w:val="268A4DCB"/>
    <w:rsid w:val="29D753F9"/>
    <w:rsid w:val="2CBD5BC5"/>
    <w:rsid w:val="2E190D0A"/>
    <w:rsid w:val="2FC20E9A"/>
    <w:rsid w:val="38460DD4"/>
    <w:rsid w:val="39BB5D57"/>
    <w:rsid w:val="3AB015EA"/>
    <w:rsid w:val="3BFD3F92"/>
    <w:rsid w:val="3C282466"/>
    <w:rsid w:val="3D800344"/>
    <w:rsid w:val="419B0A01"/>
    <w:rsid w:val="46E05B05"/>
    <w:rsid w:val="4706758F"/>
    <w:rsid w:val="4787628A"/>
    <w:rsid w:val="48D100B1"/>
    <w:rsid w:val="490F6C51"/>
    <w:rsid w:val="494F050B"/>
    <w:rsid w:val="4B4B7A95"/>
    <w:rsid w:val="4F755684"/>
    <w:rsid w:val="520A1FCA"/>
    <w:rsid w:val="550C45FF"/>
    <w:rsid w:val="564D06AC"/>
    <w:rsid w:val="59106C36"/>
    <w:rsid w:val="5B761B58"/>
    <w:rsid w:val="5EFA5D61"/>
    <w:rsid w:val="5F294D59"/>
    <w:rsid w:val="60716921"/>
    <w:rsid w:val="628D0298"/>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4</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2022-03-03T02:37:32Z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