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1.产品名称：人体元素、铅镉元素测定试剂盒（原子吸收法）</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2.技术参数要求：</w:t>
      </w:r>
    </w:p>
    <w:tbl>
      <w:tblPr>
        <w:tblStyle w:val="6"/>
        <w:tblW w:w="6134" w:type="pct"/>
        <w:tblInd w:w="-9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1296"/>
        <w:gridCol w:w="1186"/>
        <w:gridCol w:w="7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404" w:type="pct"/>
            <w:vAlign w:val="center"/>
          </w:tcPr>
          <w:p>
            <w:pPr>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序号</w:t>
            </w:r>
          </w:p>
        </w:tc>
        <w:tc>
          <w:tcPr>
            <w:tcW w:w="619" w:type="pct"/>
            <w:vAlign w:val="center"/>
          </w:tcPr>
          <w:p>
            <w:pPr>
              <w:wordWrap w:val="0"/>
              <w:jc w:val="center"/>
              <w:rPr>
                <w:rFonts w:hint="eastAsia" w:ascii="黑体" w:hAnsi="黑体" w:eastAsia="黑体" w:cs="黑体"/>
                <w:color w:val="auto"/>
                <w:sz w:val="24"/>
                <w:szCs w:val="24"/>
              </w:rPr>
            </w:pPr>
            <w:r>
              <w:rPr>
                <w:rFonts w:hint="eastAsia" w:ascii="黑体" w:hAnsi="黑体" w:eastAsia="黑体" w:cs="黑体"/>
                <w:color w:val="auto"/>
                <w:sz w:val="24"/>
                <w:szCs w:val="24"/>
              </w:rPr>
              <w:t>产品名称</w:t>
            </w:r>
          </w:p>
        </w:tc>
        <w:tc>
          <w:tcPr>
            <w:tcW w:w="567" w:type="pct"/>
            <w:vAlign w:val="center"/>
          </w:tcPr>
          <w:p>
            <w:pPr>
              <w:wordWrap w:val="0"/>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年度预计用量（盒）</w:t>
            </w:r>
          </w:p>
        </w:tc>
        <w:tc>
          <w:tcPr>
            <w:tcW w:w="3408" w:type="pct"/>
            <w:vAlign w:val="center"/>
          </w:tcPr>
          <w:p>
            <w:pPr>
              <w:wordWrap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rPr>
              <w:t>技术</w:t>
            </w:r>
            <w:r>
              <w:rPr>
                <w:rFonts w:hint="eastAsia" w:ascii="黑体" w:hAnsi="黑体" w:eastAsia="黑体" w:cs="黑体"/>
                <w:color w:val="auto"/>
                <w:sz w:val="24"/>
                <w:szCs w:val="24"/>
                <w:lang w:val="en-US" w:eastAsia="zh-CN"/>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619" w:type="pct"/>
            <w:vAlign w:val="center"/>
          </w:tcPr>
          <w:p>
            <w:pPr>
              <w:spacing w:line="4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人体元素测定试剂盒</w:t>
            </w:r>
          </w:p>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（原子吸收法）</w:t>
            </w:r>
          </w:p>
        </w:tc>
        <w:tc>
          <w:tcPr>
            <w:tcW w:w="567"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340</w:t>
            </w:r>
          </w:p>
        </w:tc>
        <w:tc>
          <w:tcPr>
            <w:tcW w:w="3408" w:type="pc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用途：用于体外定量测量人体全血中铜、锌、钙、镁、铁、钾、钠和血清中铜、锌、钙、镁、铁含量。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1.包装规格：（0.60mL-1.2mL）×50支/盒</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2.适用机型：BH5500S、BH5300S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3.试剂空白：检测铜、锌、钙、镁、铁元素空白吸光度不大于0.048Abs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4.分析灵敏度：铜、锌、钙、镁、铁各元素分析灵敏度的吸光度大于0.03Abs、0.029Abs、0.055Abs、0.055Abs、0.021Abs。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5.线性范围：试剂盒在铜元素：0-9.3mg/L，锌元素：0-12.4mg/L，钙元素：0-93mg/L,镁元素：0-62mg/L,铁元素：0-620mg/L的范围内应满足：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5.1线性相关系数r</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0.990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5.2线性偏差：相对</w:t>
            </w:r>
            <w:bookmarkStart w:id="1" w:name="_GoBack"/>
            <w:bookmarkEnd w:id="1"/>
            <w:r>
              <w:rPr>
                <w:rFonts w:hint="eastAsia" w:ascii="仿宋_GB2312" w:hAnsi="仿宋_GB2312" w:eastAsia="仿宋_GB2312" w:cs="仿宋_GB2312"/>
                <w:color w:val="auto"/>
                <w:sz w:val="21"/>
                <w:szCs w:val="21"/>
                <w:lang w:val="en-US" w:eastAsia="zh-CN"/>
              </w:rPr>
              <w:t>偏差均应不大于±10.0%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6.重复性：CV值均应不大于5.0%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7.批间差：相对偏差均应不大于5.0%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8.准确度：测试铜GBW08615、锌GBW08620、钙GBW（E）080118、镁GBW（E）080126、铁GBW08616标准物质，相对变差均应不大于±10.0%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9.稳定性：原包装的试剂盒在0℃～30℃保存，有效期为12个月。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404" w:type="pct"/>
            <w:vAlign w:val="center"/>
          </w:tcPr>
          <w:p>
            <w:pPr>
              <w:spacing w:line="360" w:lineRule="auto"/>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619"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铅镉元素测定试剂盒（原子吸收法）</w:t>
            </w:r>
          </w:p>
        </w:tc>
        <w:tc>
          <w:tcPr>
            <w:tcW w:w="567" w:type="pct"/>
            <w:vAlign w:val="center"/>
          </w:tcPr>
          <w:p>
            <w:pPr>
              <w:spacing w:line="4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220</w:t>
            </w:r>
          </w:p>
        </w:tc>
        <w:tc>
          <w:tcPr>
            <w:tcW w:w="3408" w:type="pct"/>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用途：用于体外定量测量人体全血样本中铅、镉元素的含量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1.存储条件及有效期：原包装的试剂盒在温度0℃～30℃保存，有效期为12个月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2.检测样本类型：全血</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3.试剂净含量：不少于标称值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4.试剂空白：测量铅、镉元素习惯度</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0.015Abs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5.分析灵敏度：</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0.025Abs</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6.线性范围：试剂盒在铅元素：0-400ug/L，镉元素：0-16ug/L，的范围内，应满足：r</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0.990，偏差±15.0%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7.重复性：CV</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8.批间差：相对偏差均有</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9.准确度：相对偏差均应不大于±20%</w:t>
            </w:r>
          </w:p>
        </w:tc>
      </w:tr>
    </w:tbl>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w:t>
            </w:r>
            <w:r>
              <w:rPr>
                <w:rFonts w:hint="eastAsia" w:ascii="仿宋_GB2312" w:hAnsi="仿宋_GB2312" w:eastAsia="仿宋_GB2312" w:cs="仿宋_GB2312"/>
                <w:color w:val="auto"/>
                <w:kern w:val="0"/>
                <w:sz w:val="18"/>
                <w:szCs w:val="18"/>
                <w:lang w:val="en-US" w:eastAsia="zh-CN"/>
              </w:rPr>
              <w:t>人体元素测定试剂盒（原子吸收法）</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w:t>
            </w:r>
            <w:r>
              <w:rPr>
                <w:rFonts w:hint="eastAsia" w:ascii="仿宋_GB2312" w:hAnsi="仿宋_GB2312" w:eastAsia="仿宋_GB2312" w:cs="仿宋_GB2312"/>
                <w:color w:val="auto"/>
                <w:kern w:val="0"/>
                <w:sz w:val="18"/>
                <w:szCs w:val="18"/>
                <w:lang w:val="en-US" w:eastAsia="zh-CN"/>
              </w:rPr>
              <w:t>340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铅镉元素测定试剂盒（原子吸收法）</w:t>
            </w: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220</w:t>
            </w:r>
            <w:r>
              <w:rPr>
                <w:rFonts w:hint="eastAsia" w:ascii="仿宋_GB2312" w:hAnsi="仿宋_GB2312" w:eastAsia="仿宋_GB2312" w:cs="仿宋_GB2312"/>
                <w:color w:val="auto"/>
                <w:kern w:val="0"/>
                <w:sz w:val="18"/>
                <w:szCs w:val="18"/>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264D7A9F"/>
    <w:rsid w:val="29351CDC"/>
    <w:rsid w:val="29DA7375"/>
    <w:rsid w:val="37D12C5A"/>
    <w:rsid w:val="3BF15427"/>
    <w:rsid w:val="47CB3CB6"/>
    <w:rsid w:val="4BD171AC"/>
    <w:rsid w:val="4C2F3C73"/>
    <w:rsid w:val="5EE457B5"/>
    <w:rsid w:val="70136FDB"/>
    <w:rsid w:val="7D16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1">
    <w:name w:val="List Paragraph"/>
    <w:basedOn w:val="1"/>
    <w:qFormat/>
    <w:uiPriority w:val="34"/>
    <w:pPr>
      <w:ind w:firstLine="420" w:firstLineChars="200"/>
    </w:pPr>
  </w:style>
  <w:style w:type="paragraph" w:customStyle="1" w:styleId="12">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3670</Words>
  <Characters>3999</Characters>
  <Lines>23</Lines>
  <Paragraphs>6</Paragraphs>
  <TotalTime>1</TotalTime>
  <ScaleCrop>false</ScaleCrop>
  <LinksUpToDate>false</LinksUpToDate>
  <CharactersWithSpaces>4050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李姗珊</cp:lastModifiedBy>
  <cp:lastPrinted>2022-03-21T07:21:00Z</cp:lastPrinted>
  <dcterms:modified xsi:type="dcterms:W3CDTF">2022-03-21T09:27:16Z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9AE57CD7CBF44BB19001A147D83A5501</vt:lpwstr>
  </property>
</Properties>
</file>