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b/>
          <w:bCs/>
          <w:color w:val="000000"/>
          <w:kern w:val="0"/>
          <w:sz w:val="28"/>
          <w:szCs w:val="28"/>
        </w:rPr>
      </w:pPr>
      <w:r>
        <w:rPr>
          <w:rFonts w:hint="eastAsia" w:ascii="宋体" w:hAnsi="宋体" w:cs="宋体"/>
          <w:b/>
          <w:bCs/>
          <w:color w:val="000000"/>
          <w:kern w:val="0"/>
          <w:sz w:val="28"/>
          <w:szCs w:val="28"/>
        </w:rPr>
        <w:t>市场调研项目明细</w:t>
      </w:r>
    </w:p>
    <w:p>
      <w:pPr>
        <w:widowControl/>
        <w:spacing w:line="400" w:lineRule="atLeast"/>
        <w:jc w:val="left"/>
        <w:rPr>
          <w:rFonts w:ascii="宋体" w:hAnsi="宋体" w:cs="宋体"/>
          <w:b/>
          <w:color w:val="000000"/>
          <w:kern w:val="0"/>
          <w:sz w:val="24"/>
        </w:rPr>
      </w:pPr>
    </w:p>
    <w:tbl>
      <w:tblPr>
        <w:tblStyle w:val="6"/>
        <w:tblW w:w="61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69"/>
        <w:gridCol w:w="3563"/>
        <w:gridCol w:w="3800"/>
        <w:gridCol w:w="24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273" w:type="pct"/>
            <w:shd w:val="clear" w:color="auto" w:fill="auto"/>
            <w:tcMar>
              <w:top w:w="0" w:type="dxa"/>
              <w:left w:w="108" w:type="dxa"/>
              <w:bottom w:w="0" w:type="dxa"/>
              <w:right w:w="108" w:type="dxa"/>
            </w:tcMar>
            <w:vAlign w:val="center"/>
          </w:tcPr>
          <w:p>
            <w:pPr>
              <w:widowControl/>
              <w:jc w:val="center"/>
              <w:rPr>
                <w:rFonts w:ascii="宋体" w:hAnsi="宋体" w:cs="宋体"/>
                <w:b/>
                <w:kern w:val="0"/>
                <w:sz w:val="24"/>
                <w:highlight w:val="none"/>
              </w:rPr>
            </w:pPr>
            <w:r>
              <w:rPr>
                <w:rFonts w:hint="eastAsia" w:ascii="宋体" w:hAnsi="宋体" w:cs="宋体"/>
                <w:b/>
                <w:color w:val="000000"/>
                <w:kern w:val="0"/>
                <w:sz w:val="24"/>
                <w:highlight w:val="none"/>
              </w:rPr>
              <w:t>序号</w:t>
            </w:r>
          </w:p>
        </w:tc>
        <w:tc>
          <w:tcPr>
            <w:tcW w:w="1710" w:type="pct"/>
            <w:shd w:val="clear" w:color="auto" w:fill="auto"/>
            <w:tcMar>
              <w:top w:w="0" w:type="dxa"/>
              <w:left w:w="108" w:type="dxa"/>
              <w:bottom w:w="0" w:type="dxa"/>
              <w:right w:w="108" w:type="dxa"/>
            </w:tcMar>
            <w:vAlign w:val="center"/>
          </w:tcPr>
          <w:p>
            <w:pPr>
              <w:widowControl/>
              <w:jc w:val="center"/>
              <w:rPr>
                <w:rFonts w:ascii="宋体" w:hAnsi="宋体" w:cs="宋体"/>
                <w:b/>
                <w:kern w:val="0"/>
                <w:sz w:val="24"/>
                <w:highlight w:val="none"/>
              </w:rPr>
            </w:pPr>
            <w:r>
              <w:rPr>
                <w:rFonts w:hint="eastAsia" w:ascii="宋体" w:hAnsi="宋体" w:cs="宋体"/>
                <w:b/>
                <w:color w:val="000000"/>
                <w:kern w:val="0"/>
                <w:sz w:val="24"/>
                <w:highlight w:val="none"/>
              </w:rPr>
              <w:t>名称</w:t>
            </w:r>
          </w:p>
        </w:tc>
        <w:tc>
          <w:tcPr>
            <w:tcW w:w="1824" w:type="pct"/>
            <w:shd w:val="clear" w:color="auto" w:fill="auto"/>
            <w:tcMar>
              <w:top w:w="0" w:type="dxa"/>
              <w:left w:w="108" w:type="dxa"/>
              <w:bottom w:w="0" w:type="dxa"/>
              <w:right w:w="108" w:type="dxa"/>
            </w:tcMar>
            <w:vAlign w:val="center"/>
          </w:tcPr>
          <w:p>
            <w:pPr>
              <w:widowControl/>
              <w:jc w:val="center"/>
              <w:rPr>
                <w:rFonts w:ascii="宋体" w:hAnsi="宋体" w:cs="宋体"/>
                <w:b/>
                <w:kern w:val="0"/>
                <w:sz w:val="24"/>
                <w:highlight w:val="none"/>
              </w:rPr>
            </w:pPr>
            <w:r>
              <w:rPr>
                <w:rFonts w:hint="eastAsia" w:ascii="宋体" w:hAnsi="宋体" w:cs="宋体"/>
                <w:b/>
                <w:bCs/>
                <w:kern w:val="0"/>
                <w:sz w:val="24"/>
                <w:szCs w:val="20"/>
                <w:highlight w:val="none"/>
              </w:rPr>
              <w:t>技术性能基本要求</w:t>
            </w:r>
          </w:p>
        </w:tc>
        <w:tc>
          <w:tcPr>
            <w:tcW w:w="1191" w:type="pct"/>
            <w:shd w:val="clear" w:color="auto" w:fill="auto"/>
            <w:tcMar>
              <w:top w:w="0" w:type="dxa"/>
              <w:left w:w="108" w:type="dxa"/>
              <w:bottom w:w="0" w:type="dxa"/>
              <w:right w:w="108" w:type="dxa"/>
            </w:tcMar>
            <w:vAlign w:val="center"/>
          </w:tcPr>
          <w:p>
            <w:pPr>
              <w:widowControl/>
              <w:jc w:val="center"/>
              <w:rPr>
                <w:rFonts w:hint="eastAsia" w:ascii="宋体" w:hAnsi="宋体" w:eastAsia="宋体" w:cs="宋体"/>
                <w:b/>
                <w:bCs/>
                <w:kern w:val="0"/>
                <w:sz w:val="24"/>
                <w:szCs w:val="20"/>
                <w:highlight w:val="none"/>
                <w:lang w:eastAsia="zh-CN"/>
              </w:rPr>
            </w:pPr>
            <w:r>
              <w:rPr>
                <w:rFonts w:hint="eastAsia" w:ascii="宋体" w:hAnsi="宋体" w:cs="宋体"/>
                <w:b/>
                <w:bCs/>
                <w:kern w:val="0"/>
                <w:sz w:val="24"/>
                <w:szCs w:val="20"/>
                <w:highlight w:val="none"/>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273"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rPr>
              <w:t>1</w:t>
            </w:r>
          </w:p>
        </w:tc>
        <w:tc>
          <w:tcPr>
            <w:tcW w:w="1710"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游离β-绒毛膜促性腺激素测定试剂盒（时间分辨荧光免疫分析法）</w:t>
            </w:r>
          </w:p>
        </w:tc>
        <w:tc>
          <w:tcPr>
            <w:tcW w:w="1824"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该产品用于定量检测人体血清中游离β-绒毛促性腺激素的含量。</w:t>
            </w:r>
          </w:p>
        </w:tc>
        <w:tc>
          <w:tcPr>
            <w:tcW w:w="1191" w:type="pct"/>
            <w:vMerge w:val="restar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试剂需提供相应的目标疾病（主要针对唐氏综合征、18三体综合征、开放性神经管缺陷）风险计算软件。软件需获得国家食品药品监督管理局批准上市，并支持对客户所有该项目试剂检测结果进行联合风险计算。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273"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2</w:t>
            </w:r>
          </w:p>
        </w:tc>
        <w:tc>
          <w:tcPr>
            <w:tcW w:w="1710"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甲胎蛋白/游离绒毛膜促性腺素β亚基双标测定试剂盒（时间分辨荧光法）</w:t>
            </w:r>
          </w:p>
        </w:tc>
        <w:tc>
          <w:tcPr>
            <w:tcW w:w="1824"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该产品用于检测中孕孕期母血清中甲胎蛋白和游离绒毛膜促性腺激素β亚基含量。</w:t>
            </w:r>
          </w:p>
        </w:tc>
        <w:tc>
          <w:tcPr>
            <w:tcW w:w="1191" w:type="pct"/>
            <w:vMerge w:val="continue"/>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27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3</w:t>
            </w:r>
          </w:p>
        </w:tc>
        <w:tc>
          <w:tcPr>
            <w:tcW w:w="1710"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游离雌三醇测定试剂盒（时间分辨荧光免疫分析法）</w:t>
            </w:r>
          </w:p>
        </w:tc>
        <w:tc>
          <w:tcPr>
            <w:tcW w:w="1824"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用于定量检测人体血清中的游离雌三醇含量。</w:t>
            </w:r>
          </w:p>
        </w:tc>
        <w:tc>
          <w:tcPr>
            <w:tcW w:w="1191" w:type="pct"/>
            <w:vMerge w:val="continue"/>
            <w:tcBorders/>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27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4</w:t>
            </w:r>
          </w:p>
        </w:tc>
        <w:tc>
          <w:tcPr>
            <w:tcW w:w="1710"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妊娠相关血浆蛋白A测定试剂盒（时间分辨荧光免疫分析法）</w:t>
            </w:r>
          </w:p>
        </w:tc>
        <w:tc>
          <w:tcPr>
            <w:tcW w:w="1824"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用于定量检测孕妇血清中的妊娠相关血浆蛋白A。</w:t>
            </w:r>
          </w:p>
        </w:tc>
        <w:tc>
          <w:tcPr>
            <w:tcW w:w="1191" w:type="pct"/>
            <w:vMerge w:val="continue"/>
            <w:tcBorders/>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27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5</w:t>
            </w:r>
          </w:p>
        </w:tc>
        <w:tc>
          <w:tcPr>
            <w:tcW w:w="1710"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Y染色体微缺失基因检测试剂盒（PCR-毛细管电泳法）</w:t>
            </w:r>
          </w:p>
        </w:tc>
        <w:tc>
          <w:tcPr>
            <w:tcW w:w="1824" w:type="pct"/>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该产品用于体外定性检测人类（男性）全血基因组DNA样本，可以检测Y染色体上影响精</w:t>
            </w:r>
            <w:bookmarkStart w:id="0" w:name="_GoBack"/>
            <w:bookmarkEnd w:id="0"/>
            <w:r>
              <w:rPr>
                <w:rFonts w:hint="eastAsia" w:ascii="仿宋" w:hAnsi="仿宋" w:eastAsia="仿宋" w:cs="仿宋"/>
                <w:sz w:val="24"/>
                <w:szCs w:val="24"/>
                <w:highlight w:val="none"/>
                <w:lang w:val="en-US" w:eastAsia="zh-CN"/>
              </w:rPr>
              <w:t>子生成的无精子因子（Azoospermiafactor,AZF）区域是否发生片段微缺失。需适用于AB 3500Dx的毛细管基因分析仪。</w:t>
            </w:r>
          </w:p>
        </w:tc>
        <w:tc>
          <w:tcPr>
            <w:tcW w:w="1191"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273" w:type="pc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1710"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精子DNA碎片检测试剂盒（精子染色质扩散法）</w:t>
            </w:r>
          </w:p>
        </w:tc>
        <w:tc>
          <w:tcPr>
            <w:tcW w:w="1824"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主要用于成年男性精子DNA完整性的检测。</w:t>
            </w:r>
          </w:p>
        </w:tc>
        <w:tc>
          <w:tcPr>
            <w:tcW w:w="1191" w:type="pct"/>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p>
        </w:tc>
      </w:tr>
    </w:tbl>
    <w:p>
      <w:pPr>
        <w:widowControl/>
        <w:spacing w:line="400" w:lineRule="atLeast"/>
        <w:jc w:val="left"/>
        <w:rPr>
          <w:rFonts w:ascii="宋体" w:hAnsi="宋体" w:cs="宋体"/>
          <w:b/>
          <w:color w:val="000000"/>
          <w:kern w:val="0"/>
          <w:sz w:val="24"/>
          <w:szCs w:val="24"/>
        </w:rPr>
        <w:sectPr>
          <w:pgSz w:w="11906" w:h="16838"/>
          <w:pgMar w:top="1440" w:right="1800" w:bottom="1440" w:left="1800" w:header="851" w:footer="992" w:gutter="0"/>
          <w:cols w:space="425" w:num="1"/>
          <w:docGrid w:type="lines" w:linePitch="312" w:charSpace="0"/>
        </w:sect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附件2.1：</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6"/>
        <w:tblW w:w="16303" w:type="dxa"/>
        <w:tblInd w:w="-1124" w:type="dxa"/>
        <w:tblLayout w:type="fixed"/>
        <w:tblCellMar>
          <w:top w:w="0" w:type="dxa"/>
          <w:left w:w="0" w:type="dxa"/>
          <w:bottom w:w="0" w:type="dxa"/>
          <w:right w:w="0" w:type="dxa"/>
        </w:tblCellMar>
      </w:tblPr>
      <w:tblGrid>
        <w:gridCol w:w="1702"/>
        <w:gridCol w:w="1275"/>
        <w:gridCol w:w="1275"/>
        <w:gridCol w:w="1702"/>
        <w:gridCol w:w="2269"/>
        <w:gridCol w:w="1278"/>
        <w:gridCol w:w="851"/>
        <w:gridCol w:w="1699"/>
        <w:gridCol w:w="1983"/>
        <w:gridCol w:w="2269"/>
      </w:tblGrid>
      <w:tr>
        <w:tblPrEx>
          <w:tblCellMar>
            <w:top w:w="0" w:type="dxa"/>
            <w:left w:w="0" w:type="dxa"/>
            <w:bottom w:w="0" w:type="dxa"/>
            <w:right w:w="0" w:type="dxa"/>
          </w:tblCellMar>
        </w:tblPrEx>
        <w:trPr>
          <w:trHeight w:val="735" w:hRule="atLeast"/>
        </w:trPr>
        <w:tc>
          <w:tcPr>
            <w:tcW w:w="1702"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国家医用</w:t>
            </w:r>
          </w:p>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耗材编码代码</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二级分类</w:t>
            </w:r>
          </w:p>
        </w:tc>
        <w:tc>
          <w:tcPr>
            <w:tcW w:w="12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三级分类</w:t>
            </w:r>
          </w:p>
        </w:tc>
        <w:tc>
          <w:tcPr>
            <w:tcW w:w="1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产品名称</w:t>
            </w:r>
          </w:p>
          <w:p>
            <w:pPr>
              <w:widowControl/>
              <w:spacing w:line="400" w:lineRule="atLeast"/>
              <w:jc w:val="center"/>
              <w:rPr>
                <w:rFonts w:ascii="宋体" w:hAnsi="宋体" w:cs="宋体"/>
                <w:kern w:val="0"/>
                <w:sz w:val="24"/>
              </w:rPr>
            </w:pPr>
            <w:r>
              <w:rPr>
                <w:rFonts w:hint="eastAsia" w:ascii="宋体" w:hAnsi="宋体" w:cs="宋体"/>
                <w:color w:val="000000"/>
                <w:kern w:val="0"/>
                <w:sz w:val="24"/>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医疗器械注册证/备案凭证编号</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四川省药械集中采购及医药价格监管平台商品代码</w:t>
            </w:r>
          </w:p>
        </w:tc>
      </w:tr>
      <w:tr>
        <w:tblPrEx>
          <w:tblCellMar>
            <w:top w:w="0" w:type="dxa"/>
            <w:left w:w="0" w:type="dxa"/>
            <w:bottom w:w="0" w:type="dxa"/>
            <w:right w:w="0" w:type="dxa"/>
          </w:tblCellMar>
        </w:tblPrEx>
        <w:trPr>
          <w:trHeight w:val="33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代表签字：联系方式：</w:t>
      </w:r>
    </w:p>
    <w:p>
      <w:pPr>
        <w:widowControl/>
        <w:spacing w:line="400" w:lineRule="atLeast"/>
        <w:jc w:val="left"/>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r>
        <w:rPr>
          <w:rFonts w:hint="eastAsia" w:ascii="宋体" w:hAnsi="宋体" w:cs="宋体"/>
          <w:color w:val="000000"/>
          <w:kern w:val="0"/>
          <w:sz w:val="22"/>
        </w:rPr>
        <w:t>日期：</w:t>
      </w:r>
      <w:r>
        <w:rPr>
          <w:rFonts w:ascii="宋体" w:hAnsi="宋体" w:cs="宋体"/>
          <w:b/>
          <w:color w:val="000000"/>
          <w:kern w:val="0"/>
          <w:sz w:val="24"/>
        </w:rPr>
        <w:br w:type="page"/>
      </w:r>
    </w:p>
    <w:p>
      <w:pPr>
        <w:widowControl/>
        <w:jc w:val="left"/>
        <w:rPr>
          <w:rFonts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6"/>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AE8"/>
    <w:rsid w:val="00043659"/>
    <w:rsid w:val="000766F1"/>
    <w:rsid w:val="000947DF"/>
    <w:rsid w:val="00127DD1"/>
    <w:rsid w:val="00207D2A"/>
    <w:rsid w:val="002150C8"/>
    <w:rsid w:val="00216000"/>
    <w:rsid w:val="002611C4"/>
    <w:rsid w:val="0032284C"/>
    <w:rsid w:val="003C1099"/>
    <w:rsid w:val="004301D8"/>
    <w:rsid w:val="004B6316"/>
    <w:rsid w:val="004F123C"/>
    <w:rsid w:val="005874D8"/>
    <w:rsid w:val="005A2A06"/>
    <w:rsid w:val="00631543"/>
    <w:rsid w:val="006569CF"/>
    <w:rsid w:val="00691B9E"/>
    <w:rsid w:val="007052CD"/>
    <w:rsid w:val="007D1E60"/>
    <w:rsid w:val="00825C2B"/>
    <w:rsid w:val="00A537D8"/>
    <w:rsid w:val="00A569E9"/>
    <w:rsid w:val="00A84C03"/>
    <w:rsid w:val="00AE3F34"/>
    <w:rsid w:val="00B1359C"/>
    <w:rsid w:val="00B94304"/>
    <w:rsid w:val="00BF21CA"/>
    <w:rsid w:val="00C822FB"/>
    <w:rsid w:val="00D10A90"/>
    <w:rsid w:val="00D45AE8"/>
    <w:rsid w:val="00D6478E"/>
    <w:rsid w:val="00E80C57"/>
    <w:rsid w:val="00F226FD"/>
    <w:rsid w:val="070E7E57"/>
    <w:rsid w:val="08D177C3"/>
    <w:rsid w:val="09076CFD"/>
    <w:rsid w:val="0BF575AA"/>
    <w:rsid w:val="13BE78DE"/>
    <w:rsid w:val="1473155D"/>
    <w:rsid w:val="25B92429"/>
    <w:rsid w:val="27540DFE"/>
    <w:rsid w:val="2BC34039"/>
    <w:rsid w:val="2E2530A8"/>
    <w:rsid w:val="352444BF"/>
    <w:rsid w:val="38E36B7C"/>
    <w:rsid w:val="390302F7"/>
    <w:rsid w:val="3BB77E7B"/>
    <w:rsid w:val="3F855F59"/>
    <w:rsid w:val="41852BF7"/>
    <w:rsid w:val="44F00DE7"/>
    <w:rsid w:val="46203848"/>
    <w:rsid w:val="46EC5E9F"/>
    <w:rsid w:val="4B184AEF"/>
    <w:rsid w:val="4B79007A"/>
    <w:rsid w:val="4BD153AA"/>
    <w:rsid w:val="4D765AC4"/>
    <w:rsid w:val="4E5B344C"/>
    <w:rsid w:val="4F162DFA"/>
    <w:rsid w:val="51BC63A3"/>
    <w:rsid w:val="525C6EC0"/>
    <w:rsid w:val="546C11D1"/>
    <w:rsid w:val="55FB20E6"/>
    <w:rsid w:val="57560D05"/>
    <w:rsid w:val="5E7F3009"/>
    <w:rsid w:val="601B24D2"/>
    <w:rsid w:val="603D7B39"/>
    <w:rsid w:val="640B4FB5"/>
    <w:rsid w:val="65654809"/>
    <w:rsid w:val="68757197"/>
    <w:rsid w:val="69614300"/>
    <w:rsid w:val="6B9507CF"/>
    <w:rsid w:val="6C611C93"/>
    <w:rsid w:val="6D5B4110"/>
    <w:rsid w:val="6DC347C2"/>
    <w:rsid w:val="773151C9"/>
    <w:rsid w:val="77B67777"/>
    <w:rsid w:val="7A114C0E"/>
    <w:rsid w:val="7B58021D"/>
    <w:rsid w:val="7B5C53AE"/>
    <w:rsid w:val="7C277F07"/>
    <w:rsid w:val="7CDE0F8B"/>
    <w:rsid w:val="7E5B6F31"/>
    <w:rsid w:val="7EA74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Words>
  <Characters>607</Characters>
  <Lines>5</Lines>
  <Paragraphs>1</Paragraphs>
  <TotalTime>9</TotalTime>
  <ScaleCrop>false</ScaleCrop>
  <LinksUpToDate>false</LinksUpToDate>
  <CharactersWithSpaces>712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2022-03-21T00:27:08Z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09368DB97C384993A2047C28E1F1552E</vt:lpwstr>
  </property>
</Properties>
</file>