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1.产品名称：人体元素、铅镉元素测定试剂盒（原子吸收法）</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6"/>
        <w:tblW w:w="6134" w:type="pct"/>
        <w:tblInd w:w="-9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7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404"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619"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567"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408"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404"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19" w:type="pct"/>
            <w:vAlign w:val="center"/>
          </w:tcPr>
          <w:p>
            <w:pPr>
              <w:spacing w:line="48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人体元素测定试剂盒</w:t>
            </w:r>
          </w:p>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（原子吸收法）</w:t>
            </w:r>
          </w:p>
        </w:tc>
        <w:tc>
          <w:tcPr>
            <w:tcW w:w="567"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290</w:t>
            </w:r>
          </w:p>
        </w:tc>
        <w:tc>
          <w:tcPr>
            <w:tcW w:w="3408" w:type="pc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用途：用于体外定量测量人体全血中铜、锌、钙、镁、铁、钾、钠和血清中铜、锌、钙、镁、铁含量。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1.包装规格：（0.60mL-1.2mL）×50支/盒</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2.适用机型：BH5500S、BH5300S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3.试剂空白：检测铜</w:t>
            </w:r>
            <w:bookmarkStart w:id="1" w:name="_GoBack"/>
            <w:bookmarkEnd w:id="1"/>
            <w:r>
              <w:rPr>
                <w:rFonts w:hint="eastAsia" w:ascii="仿宋_GB2312" w:hAnsi="仿宋_GB2312" w:eastAsia="仿宋_GB2312" w:cs="仿宋_GB2312"/>
                <w:color w:val="auto"/>
                <w:sz w:val="21"/>
                <w:szCs w:val="21"/>
                <w:lang w:val="en-US" w:eastAsia="zh-CN"/>
              </w:rPr>
              <w:t>、锌、钙、镁、铁元素空白吸光度不大于0.048Abs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4.分析灵敏度：铜、锌、钙、镁、铁各元素分析灵敏度的吸光度大于0.03Abs、0.029Abs、0.055Abs、0.055Abs、0.021Abs。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5.线性范围：试剂盒在铜元素：0-9.3mg/L，锌元素：0-12.4mg/L，钙元素：0-93mg/L,镁元素：0-62mg/L,铁元素：0-620mg/L的范围内应满足：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5.1线性相关系数r</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0.990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5.2线性偏差：相对偏差均应不大于±10.0%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6.重复性：CV值均应不大于5.0%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7.批间差：相对偏差均应不大于5.0%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8.准确度：测试铜GBW08615、锌GBW08620、钙GBW（E）080118、镁GBW（E）080126、铁GBW08616标准物质，相对变差均应不大于±10.0%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9.稳定性：原包装的试剂盒在0℃～30℃保存，有效期为12个月。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404" w:type="pct"/>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619"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铅镉元素测定试剂盒（原子吸收法）</w:t>
            </w:r>
          </w:p>
        </w:tc>
        <w:tc>
          <w:tcPr>
            <w:tcW w:w="567"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200</w:t>
            </w:r>
          </w:p>
        </w:tc>
        <w:tc>
          <w:tcPr>
            <w:tcW w:w="3408" w:type="pc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用途：用于体外定量测量人体全血样本中铅、镉元素的含量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1.存储条件及有效期：原包装的试剂盒在温度0℃～30℃保存，有效期为12个月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2.检测样本类型：全血</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3.试剂净含量：不少于标称值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4.试剂空白：测量铅、镉元素习惯度</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0.015Abs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5.分析灵敏度：</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0.025Abs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6.线性范围：试剂盒在铅元素：0-400ug/L，镉元素：0-16ug/L，的范围内，应满足：r</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0.990，偏差±15.0%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7.重复性：CV</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8.批间差：相对偏差均有</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9.准确度：相对偏差均应不大于±20%</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w:t>
            </w:r>
            <w:r>
              <w:rPr>
                <w:rFonts w:hint="eastAsia" w:ascii="仿宋_GB2312" w:hAnsi="仿宋_GB2312" w:eastAsia="仿宋_GB2312" w:cs="仿宋_GB2312"/>
                <w:color w:val="auto"/>
                <w:kern w:val="0"/>
                <w:sz w:val="18"/>
                <w:szCs w:val="18"/>
                <w:lang w:val="en-US" w:eastAsia="zh-CN"/>
              </w:rPr>
              <w:t>人体元素测定试剂盒（原子吸收法）</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290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铅镉元素测定试剂盒（原子吸收法）</w:t>
            </w: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rPr>
            </w:pPr>
            <w:r>
              <w:rPr>
                <w:rFonts w:hint="eastAsia" w:ascii="仿宋_GB2312" w:hAnsi="仿宋_GB2312" w:eastAsia="仿宋_GB2312" w:cs="仿宋_GB2312"/>
                <w:color w:val="auto"/>
                <w:kern w:val="0"/>
                <w:sz w:val="18"/>
                <w:szCs w:val="18"/>
                <w:lang w:val="en-US" w:eastAsia="zh-CN"/>
              </w:rPr>
              <w:t>200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1.供应商应明确各项检测需配备的耗材（包括但不限于样本稀释液、缓冲液、质控品、校准品、清洗液等）并分项报价。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4.</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5</w:t>
      </w:r>
      <w:r>
        <w:rPr>
          <w:rFonts w:hint="eastAsia" w:ascii="楷体_GB2312" w:hAnsi="楷体_GB2312" w:eastAsia="楷体_GB2312" w:cs="楷体_GB2312"/>
          <w:color w:val="auto"/>
          <w:kern w:val="0"/>
          <w:sz w:val="24"/>
          <w:szCs w:val="24"/>
        </w:rPr>
        <w:t>.“品目及报价表”需单独密封。</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64D7A9F"/>
    <w:rsid w:val="29351CDC"/>
    <w:rsid w:val="29DA7375"/>
    <w:rsid w:val="37D12C5A"/>
    <w:rsid w:val="3BF15427"/>
    <w:rsid w:val="43A26769"/>
    <w:rsid w:val="47CB3CB6"/>
    <w:rsid w:val="4BD171AC"/>
    <w:rsid w:val="4C2F3C73"/>
    <w:rsid w:val="5EE457B5"/>
    <w:rsid w:val="70136FDB"/>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3671</Words>
  <Characters>4000</Characters>
  <Lines>23</Lines>
  <Paragraphs>6</Paragraphs>
  <TotalTime>22</TotalTime>
  <ScaleCrop>false</ScaleCrop>
  <LinksUpToDate>false</LinksUpToDate>
  <CharactersWithSpaces>4051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2022-03-23T08:52:12Z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7BDE63C784A1429C8023EA3F44C4A152</vt:lpwstr>
  </property>
</Properties>
</file>