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240" w:line="360" w:lineRule="auto"/>
        <w:jc w:val="center"/>
        <w:rPr>
          <w:rFonts w:hint="eastAsia" w:ascii="黑体" w:hAnsi="黑体" w:eastAsia="黑体" w:cs="仿宋"/>
          <w:b/>
          <w:sz w:val="32"/>
          <w:szCs w:val="32"/>
        </w:rPr>
      </w:pPr>
      <w:r>
        <w:rPr>
          <w:rFonts w:hint="eastAsia" w:ascii="黑体" w:hAnsi="黑体" w:eastAsia="黑体" w:cs="仿宋"/>
          <w:b/>
          <w:sz w:val="32"/>
          <w:szCs w:val="32"/>
        </w:rPr>
        <w:t>第五章  采购项目技术、服务、政府采购合同内容条款及其他商务要求</w:t>
      </w:r>
    </w:p>
    <w:p>
      <w:pPr>
        <w:pStyle w:val="3"/>
        <w:keepNext w:val="0"/>
        <w:keepLines w:val="0"/>
        <w:spacing w:before="0" w:after="0" w:line="360" w:lineRule="auto"/>
        <w:ind w:firstLine="118" w:firstLineChars="49"/>
        <w:jc w:val="left"/>
        <w:rPr>
          <w:rFonts w:hint="eastAsia"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“★”号</w:t>
      </w:r>
      <w:r>
        <w:rPr>
          <w:rFonts w:hint="eastAsia" w:ascii="宋体" w:hAnsi="宋体" w:eastAsia="宋体" w:cs="仿宋"/>
          <w:bCs w:val="0"/>
          <w:sz w:val="24"/>
          <w:szCs w:val="24"/>
        </w:rPr>
        <w:t>的条</w:t>
      </w:r>
      <w:bookmarkStart w:id="3" w:name="_GoBack"/>
      <w:bookmarkEnd w:id="3"/>
      <w:r>
        <w:rPr>
          <w:rFonts w:hint="eastAsia" w:ascii="宋体" w:hAnsi="宋体" w:eastAsia="宋体" w:cs="仿宋"/>
          <w:bCs w:val="0"/>
          <w:sz w:val="24"/>
          <w:szCs w:val="24"/>
        </w:rPr>
        <w:t>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否则其响应文件作无效响应处理。“▲”符号的条款为本项目的重要参数条款，未标识符号的条款为一般参数条款。</w:t>
      </w:r>
    </w:p>
    <w:p>
      <w:pPr>
        <w:pStyle w:val="3"/>
        <w:spacing w:after="0" w:line="360" w:lineRule="auto"/>
        <w:ind w:firstLine="236" w:firstLineChars="98"/>
        <w:rPr>
          <w:rFonts w:hint="eastAsia" w:ascii="宋体" w:hAnsi="宋体" w:eastAsia="宋体" w:cs="仿宋"/>
          <w:sz w:val="24"/>
          <w:szCs w:val="24"/>
        </w:rPr>
      </w:pPr>
      <w:bookmarkStart w:id="0" w:name="_Toc217446094"/>
      <w:r>
        <w:rPr>
          <w:rFonts w:hint="eastAsia" w:ascii="宋体" w:hAnsi="宋体" w:eastAsia="宋体" w:cs="仿宋"/>
          <w:sz w:val="24"/>
          <w:szCs w:val="24"/>
          <w:lang w:eastAsia="zh-CN"/>
        </w:rPr>
        <w:t>一、</w:t>
      </w:r>
      <w:r>
        <w:rPr>
          <w:rFonts w:hint="eastAsia" w:ascii="宋体" w:hAnsi="宋体" w:eastAsia="宋体" w:cs="仿宋"/>
          <w:sz w:val="24"/>
          <w:szCs w:val="24"/>
        </w:rPr>
        <w:t xml:space="preserve"> 项目概述</w:t>
      </w:r>
      <w:bookmarkEnd w:id="0"/>
    </w:p>
    <w:p>
      <w:pPr>
        <w:pStyle w:val="3"/>
        <w:spacing w:after="0" w:line="360" w:lineRule="auto"/>
        <w:ind w:firstLine="236" w:firstLineChars="98"/>
        <w:rPr>
          <w:rFonts w:hint="eastAsia" w:ascii="宋体" w:hAnsi="宋体" w:eastAsia="宋体" w:cs="仿宋"/>
          <w:sz w:val="24"/>
          <w:szCs w:val="24"/>
        </w:rPr>
      </w:pPr>
      <w:bookmarkStart w:id="1" w:name="_Toc217446095"/>
      <w:r>
        <w:rPr>
          <w:rFonts w:hint="eastAsia" w:ascii="宋体" w:hAnsi="宋体"/>
          <w:sz w:val="24"/>
          <w:szCs w:val="24"/>
        </w:rPr>
        <w:t>采购传染病标志物化学发光法检测试剂和耗材供应商一名</w:t>
      </w:r>
      <w:r>
        <w:rPr>
          <w:rFonts w:hint="eastAsia" w:ascii="宋体" w:hAnsi="宋体"/>
          <w:sz w:val="24"/>
          <w:szCs w:val="24"/>
          <w:lang w:eastAsia="zh-CN"/>
        </w:rPr>
        <w:t>。</w:t>
      </w:r>
    </w:p>
    <w:p>
      <w:pPr>
        <w:pStyle w:val="3"/>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eastAsia="zh-CN"/>
        </w:rPr>
        <w:t>二、</w:t>
      </w:r>
      <w:r>
        <w:rPr>
          <w:rFonts w:hint="eastAsia" w:ascii="宋体" w:hAnsi="宋体" w:eastAsia="宋体" w:cs="仿宋"/>
          <w:sz w:val="24"/>
          <w:szCs w:val="24"/>
        </w:rPr>
        <w:t xml:space="preserve"> 项目清单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4014"/>
        <w:gridCol w:w="1581"/>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337"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序号</w:t>
            </w:r>
          </w:p>
        </w:tc>
        <w:tc>
          <w:tcPr>
            <w:tcW w:w="4014"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材料</w:t>
            </w:r>
            <w:r>
              <w:rPr>
                <w:rFonts w:ascii="宋体" w:hAnsi="宋体" w:cs="仿宋"/>
                <w:kern w:val="0"/>
                <w:sz w:val="22"/>
                <w:szCs w:val="22"/>
              </w:rPr>
              <w:t>名称</w:t>
            </w:r>
          </w:p>
        </w:tc>
        <w:tc>
          <w:tcPr>
            <w:tcW w:w="1581" w:type="dxa"/>
            <w:noWrap w:val="0"/>
            <w:vAlign w:val="center"/>
          </w:tcPr>
          <w:p>
            <w:pPr>
              <w:widowControl/>
              <w:spacing w:line="360" w:lineRule="auto"/>
              <w:jc w:val="center"/>
              <w:rPr>
                <w:rFonts w:hint="eastAsia" w:ascii="宋体" w:hAnsi="宋体" w:eastAsia="宋体" w:cs="仿宋"/>
                <w:kern w:val="0"/>
                <w:sz w:val="22"/>
                <w:szCs w:val="22"/>
                <w:lang w:eastAsia="zh-CN"/>
              </w:rPr>
            </w:pPr>
            <w:r>
              <w:rPr>
                <w:rFonts w:hint="eastAsia" w:ascii="宋体" w:hAnsi="宋体" w:cs="仿宋"/>
                <w:kern w:val="0"/>
                <w:sz w:val="22"/>
                <w:szCs w:val="22"/>
                <w:lang w:val="en-US" w:eastAsia="zh-CN"/>
              </w:rPr>
              <w:t>数量</w:t>
            </w:r>
          </w:p>
        </w:tc>
        <w:tc>
          <w:tcPr>
            <w:tcW w:w="1265"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337" w:type="dxa"/>
            <w:noWrap w:val="0"/>
            <w:vAlign w:val="center"/>
          </w:tcPr>
          <w:p>
            <w:pPr>
              <w:widowControl/>
              <w:spacing w:line="360" w:lineRule="auto"/>
              <w:jc w:val="center"/>
              <w:rPr>
                <w:rFonts w:hint="eastAsia" w:ascii="宋体" w:hAnsi="宋体" w:cs="仿宋"/>
                <w:kern w:val="0"/>
                <w:sz w:val="22"/>
                <w:szCs w:val="22"/>
              </w:rPr>
            </w:pPr>
            <w:r>
              <w:rPr>
                <w:rFonts w:hint="eastAsia" w:ascii="宋体" w:hAnsi="宋体" w:cs="仿宋"/>
                <w:kern w:val="0"/>
                <w:sz w:val="22"/>
                <w:szCs w:val="22"/>
              </w:rPr>
              <w:t>1</w:t>
            </w:r>
          </w:p>
        </w:tc>
        <w:tc>
          <w:tcPr>
            <w:tcW w:w="4014"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血糖测试干片</w:t>
            </w:r>
          </w:p>
        </w:tc>
        <w:tc>
          <w:tcPr>
            <w:tcW w:w="1581"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200000片</w:t>
            </w:r>
          </w:p>
        </w:tc>
        <w:tc>
          <w:tcPr>
            <w:tcW w:w="1265" w:type="dxa"/>
            <w:vMerge w:val="restart"/>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lang w:eastAsia="zh-CN"/>
              </w:rPr>
              <w:t>每年</w:t>
            </w:r>
            <w:r>
              <w:rPr>
                <w:rFonts w:hint="eastAsia" w:ascii="宋体" w:hAnsi="宋体" w:cs="仿宋"/>
                <w:kern w:val="0"/>
                <w:sz w:val="22"/>
                <w:szCs w:val="22"/>
              </w:rPr>
              <w:t>采购数量以实际使用量为准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337" w:type="dxa"/>
            <w:noWrap w:val="0"/>
            <w:vAlign w:val="center"/>
          </w:tcPr>
          <w:p>
            <w:pPr>
              <w:widowControl/>
              <w:spacing w:line="360" w:lineRule="auto"/>
              <w:jc w:val="center"/>
              <w:rPr>
                <w:rFonts w:hint="eastAsia" w:ascii="宋体" w:hAnsi="宋体" w:eastAsia="宋体" w:cs="仿宋"/>
                <w:kern w:val="0"/>
                <w:sz w:val="22"/>
                <w:szCs w:val="22"/>
                <w:lang w:val="en-US" w:eastAsia="zh-CN"/>
              </w:rPr>
            </w:pPr>
            <w:r>
              <w:rPr>
                <w:rFonts w:hint="eastAsia" w:ascii="宋体" w:hAnsi="宋体" w:cs="仿宋"/>
                <w:kern w:val="0"/>
                <w:sz w:val="22"/>
                <w:szCs w:val="22"/>
                <w:lang w:val="en-US" w:eastAsia="zh-CN"/>
              </w:rPr>
              <w:t>2</w:t>
            </w:r>
          </w:p>
        </w:tc>
        <w:tc>
          <w:tcPr>
            <w:tcW w:w="4014" w:type="dxa"/>
            <w:noWrap w:val="0"/>
            <w:vAlign w:val="center"/>
          </w:tcPr>
          <w:p>
            <w:pPr>
              <w:widowControl/>
              <w:spacing w:line="360" w:lineRule="auto"/>
              <w:jc w:val="center"/>
              <w:rPr>
                <w:rFonts w:hint="eastAsia" w:ascii="宋体" w:hAnsi="宋体" w:cs="仿宋"/>
                <w:kern w:val="0"/>
                <w:sz w:val="22"/>
                <w:szCs w:val="22"/>
              </w:rPr>
            </w:pPr>
            <w:r>
              <w:rPr>
                <w:rFonts w:hint="eastAsia" w:ascii="宋体" w:hAnsi="宋体" w:cs="仿宋"/>
                <w:kern w:val="0"/>
                <w:sz w:val="22"/>
                <w:szCs w:val="22"/>
              </w:rPr>
              <w:t>一次性使用无菌注射针</w:t>
            </w:r>
          </w:p>
        </w:tc>
        <w:tc>
          <w:tcPr>
            <w:tcW w:w="1581" w:type="dxa"/>
            <w:noWrap w:val="0"/>
            <w:vAlign w:val="center"/>
          </w:tcPr>
          <w:p>
            <w:pPr>
              <w:widowControl/>
              <w:spacing w:line="360" w:lineRule="auto"/>
              <w:jc w:val="center"/>
              <w:rPr>
                <w:rFonts w:hint="eastAsia" w:ascii="宋体" w:hAnsi="宋体" w:cs="仿宋"/>
                <w:kern w:val="0"/>
                <w:sz w:val="22"/>
                <w:szCs w:val="22"/>
              </w:rPr>
            </w:pPr>
            <w:r>
              <w:rPr>
                <w:rFonts w:hint="eastAsia" w:ascii="宋体" w:hAnsi="宋体" w:cs="仿宋"/>
                <w:kern w:val="0"/>
                <w:sz w:val="22"/>
                <w:szCs w:val="22"/>
              </w:rPr>
              <w:t>4000枚</w:t>
            </w:r>
          </w:p>
        </w:tc>
        <w:tc>
          <w:tcPr>
            <w:tcW w:w="1265" w:type="dxa"/>
            <w:vMerge w:val="continue"/>
            <w:noWrap w:val="0"/>
            <w:vAlign w:val="center"/>
          </w:tcPr>
          <w:p>
            <w:pPr>
              <w:widowControl/>
              <w:spacing w:line="360" w:lineRule="auto"/>
              <w:jc w:val="center"/>
              <w:rPr>
                <w:rFonts w:hint="eastAsia" w:ascii="宋体" w:hAnsi="宋体" w:cs="仿宋"/>
                <w:kern w:val="0"/>
                <w:sz w:val="22"/>
                <w:szCs w:val="22"/>
              </w:rPr>
            </w:pPr>
          </w:p>
        </w:tc>
      </w:tr>
    </w:tbl>
    <w:p>
      <w:pPr>
        <w:pStyle w:val="3"/>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eastAsia="zh-CN"/>
        </w:rPr>
        <w:t>三、</w:t>
      </w:r>
      <w:r>
        <w:rPr>
          <w:rFonts w:hint="eastAsia" w:ascii="宋体" w:hAnsi="宋体" w:eastAsia="宋体" w:cs="仿宋"/>
          <w:sz w:val="24"/>
          <w:szCs w:val="24"/>
        </w:rPr>
        <w:t>项目要求</w:t>
      </w:r>
      <w:bookmarkEnd w:id="1"/>
    </w:p>
    <w:p>
      <w:pPr>
        <w:pStyle w:val="4"/>
        <w:spacing w:line="360" w:lineRule="auto"/>
        <w:ind w:left="283" w:leftChars="135" w:firstLine="0" w:firstLineChars="0"/>
        <w:rPr>
          <w:rFonts w:hint="eastAsia" w:ascii="宋体" w:hAnsi="宋体" w:cs="仿宋"/>
          <w:sz w:val="24"/>
        </w:rPr>
      </w:pPr>
      <w:r>
        <w:rPr>
          <w:rFonts w:hint="eastAsia" w:ascii="宋体" w:hAnsi="宋体" w:cs="仿宋"/>
          <w:sz w:val="24"/>
        </w:rPr>
        <w:t xml:space="preserve">（一）本包进口产品 </w:t>
      </w:r>
      <w:r>
        <w:rPr>
          <w:rFonts w:hint="eastAsia" w:ascii="宋体" w:hAnsi="宋体" w:cs="仿宋"/>
          <w:sz w:val="24"/>
          <w:u w:val="single"/>
        </w:rPr>
        <w:t xml:space="preserve">可以 </w:t>
      </w:r>
      <w:r>
        <w:rPr>
          <w:rFonts w:hint="eastAsia" w:ascii="宋体" w:hAnsi="宋体" w:cs="仿宋"/>
          <w:sz w:val="24"/>
        </w:rPr>
        <w:t>参与竞争。</w:t>
      </w:r>
    </w:p>
    <w:p>
      <w:pPr>
        <w:pStyle w:val="4"/>
        <w:spacing w:line="360" w:lineRule="auto"/>
        <w:ind w:left="283" w:leftChars="135" w:firstLine="0" w:firstLineChars="0"/>
        <w:rPr>
          <w:rFonts w:hint="eastAsia" w:ascii="宋体" w:hAnsi="宋体" w:cs="仿宋"/>
          <w:b/>
          <w:bCs/>
          <w:sz w:val="24"/>
        </w:rPr>
      </w:pPr>
      <w:r>
        <w:rPr>
          <w:rFonts w:hint="eastAsia" w:ascii="宋体" w:hAnsi="宋体" w:cs="仿宋"/>
          <w:b/>
          <w:sz w:val="24"/>
        </w:rPr>
        <w:t>（二）</w:t>
      </w:r>
      <w:r>
        <w:rPr>
          <w:rFonts w:hint="eastAsia" w:ascii="宋体" w:hAnsi="宋体" w:cs="仿宋"/>
          <w:b/>
          <w:bCs/>
          <w:sz w:val="24"/>
        </w:rPr>
        <w:t>技术、服务要求：</w:t>
      </w:r>
    </w:p>
    <w:p>
      <w:pPr>
        <w:pStyle w:val="4"/>
        <w:spacing w:line="360" w:lineRule="auto"/>
        <w:ind w:left="283" w:leftChars="135" w:firstLine="0" w:firstLineChars="0"/>
        <w:rPr>
          <w:rFonts w:hint="eastAsia" w:ascii="宋体" w:hAnsi="宋体" w:cs="仿宋"/>
          <w:sz w:val="24"/>
        </w:rPr>
      </w:pPr>
      <w:r>
        <w:rPr>
          <w:rFonts w:hint="eastAsia" w:ascii="宋体" w:hAnsi="宋体" w:cs="仿宋"/>
          <w:sz w:val="24"/>
        </w:rPr>
        <w:t>1、技术要求：</w:t>
      </w:r>
    </w:p>
    <w:p>
      <w:pPr>
        <w:pStyle w:val="4"/>
        <w:spacing w:line="360" w:lineRule="auto"/>
        <w:ind w:left="283" w:leftChars="135" w:firstLine="0" w:firstLineChars="0"/>
        <w:rPr>
          <w:rFonts w:hint="eastAsia" w:ascii="宋体" w:hAnsi="宋体" w:cs="仿宋"/>
          <w:sz w:val="24"/>
        </w:rPr>
      </w:pPr>
      <w:r>
        <w:rPr>
          <w:rFonts w:hint="eastAsia" w:ascii="宋体" w:hAnsi="宋体" w:cs="仿宋"/>
          <w:sz w:val="24"/>
          <w:lang w:val="en-US" w:eastAsia="zh-CN"/>
        </w:rPr>
        <w:t>1.1</w:t>
      </w:r>
      <w:r>
        <w:rPr>
          <w:rFonts w:hint="eastAsia" w:ascii="宋体" w:hAnsi="宋体" w:cs="仿宋"/>
          <w:sz w:val="24"/>
        </w:rPr>
        <w:t>技术参数表</w:t>
      </w:r>
    </w:p>
    <w:tbl>
      <w:tblPr>
        <w:tblStyle w:val="6"/>
        <w:tblW w:w="51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283"/>
        <w:gridCol w:w="956"/>
        <w:gridCol w:w="6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35" w:type="pct"/>
            <w:noWrap w:val="0"/>
            <w:vAlign w:val="center"/>
          </w:tcPr>
          <w:p>
            <w:pPr>
              <w:autoSpaceDE w:val="0"/>
              <w:autoSpaceDN w:val="0"/>
              <w:jc w:val="center"/>
              <w:rPr>
                <w:rFonts w:ascii="宋体" w:hAnsi="宋体"/>
                <w:b/>
                <w:sz w:val="24"/>
                <w:szCs w:val="24"/>
              </w:rPr>
            </w:pPr>
            <w:r>
              <w:rPr>
                <w:rFonts w:hint="eastAsia" w:ascii="宋体" w:hAnsi="宋体"/>
                <w:b/>
                <w:sz w:val="24"/>
                <w:szCs w:val="24"/>
              </w:rPr>
              <w:t>序号</w:t>
            </w:r>
          </w:p>
        </w:tc>
        <w:tc>
          <w:tcPr>
            <w:tcW w:w="724" w:type="pct"/>
            <w:noWrap w:val="0"/>
            <w:vAlign w:val="center"/>
          </w:tcPr>
          <w:p>
            <w:pPr>
              <w:autoSpaceDE w:val="0"/>
              <w:autoSpaceDN w:val="0"/>
              <w:jc w:val="center"/>
              <w:rPr>
                <w:rFonts w:ascii="宋体" w:hAnsi="宋体"/>
                <w:b/>
                <w:sz w:val="24"/>
                <w:szCs w:val="24"/>
              </w:rPr>
            </w:pPr>
            <w:r>
              <w:rPr>
                <w:rFonts w:hint="eastAsia" w:ascii="宋体" w:hAnsi="宋体"/>
                <w:b/>
                <w:sz w:val="24"/>
                <w:szCs w:val="24"/>
              </w:rPr>
              <w:t>材料名称</w:t>
            </w:r>
          </w:p>
        </w:tc>
        <w:tc>
          <w:tcPr>
            <w:tcW w:w="539" w:type="pct"/>
            <w:noWrap w:val="0"/>
            <w:vAlign w:val="center"/>
          </w:tcPr>
          <w:p>
            <w:pPr>
              <w:autoSpaceDE w:val="0"/>
              <w:autoSpaceDN w:val="0"/>
              <w:jc w:val="center"/>
              <w:rPr>
                <w:rFonts w:hint="eastAsia" w:ascii="宋体" w:hAnsi="宋体"/>
                <w:b/>
                <w:sz w:val="24"/>
                <w:szCs w:val="24"/>
              </w:rPr>
            </w:pPr>
            <w:r>
              <w:rPr>
                <w:rFonts w:hint="eastAsia" w:ascii="宋体" w:hAnsi="宋体"/>
                <w:b/>
                <w:sz w:val="24"/>
                <w:szCs w:val="24"/>
              </w:rPr>
              <w:t>数量</w:t>
            </w:r>
          </w:p>
        </w:tc>
        <w:tc>
          <w:tcPr>
            <w:tcW w:w="3399" w:type="pct"/>
            <w:noWrap w:val="0"/>
            <w:vAlign w:val="center"/>
          </w:tcPr>
          <w:p>
            <w:pPr>
              <w:autoSpaceDE w:val="0"/>
              <w:autoSpaceDN w:val="0"/>
              <w:jc w:val="center"/>
              <w:rPr>
                <w:rFonts w:ascii="宋体" w:hAnsi="宋体"/>
                <w:b/>
                <w:sz w:val="24"/>
                <w:szCs w:val="24"/>
              </w:rPr>
            </w:pPr>
            <w:r>
              <w:rPr>
                <w:rFonts w:ascii="宋体" w:hAnsi="宋体"/>
                <w:b/>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jc w:val="center"/>
        </w:trPr>
        <w:tc>
          <w:tcPr>
            <w:tcW w:w="335" w:type="pct"/>
            <w:noWrap w:val="0"/>
            <w:vAlign w:val="center"/>
          </w:tcPr>
          <w:p>
            <w:pPr>
              <w:autoSpaceDE w:val="0"/>
              <w:autoSpaceDN w:val="0"/>
              <w:jc w:val="center"/>
              <w:rPr>
                <w:rFonts w:hint="eastAsia" w:ascii="宋体" w:hAnsi="宋体"/>
                <w:sz w:val="24"/>
                <w:szCs w:val="24"/>
              </w:rPr>
            </w:pPr>
            <w:r>
              <w:rPr>
                <w:rFonts w:hint="eastAsia" w:ascii="宋体" w:hAnsi="宋体"/>
                <w:sz w:val="24"/>
                <w:szCs w:val="24"/>
              </w:rPr>
              <w:t>1</w:t>
            </w:r>
          </w:p>
        </w:tc>
        <w:tc>
          <w:tcPr>
            <w:tcW w:w="724" w:type="pct"/>
            <w:noWrap w:val="0"/>
            <w:vAlign w:val="center"/>
          </w:tcPr>
          <w:p>
            <w:pPr>
              <w:widowControl/>
              <w:jc w:val="center"/>
              <w:textAlignment w:val="center"/>
              <w:rPr>
                <w:rFonts w:hint="eastAsia" w:ascii="宋体" w:hAnsi="宋体" w:cs="宋体"/>
                <w:color w:val="000000"/>
                <w:sz w:val="24"/>
                <w:szCs w:val="24"/>
              </w:rPr>
            </w:pPr>
            <w:r>
              <w:rPr>
                <w:rFonts w:hint="eastAsia" w:ascii="宋体" w:hAnsi="宋体"/>
                <w:sz w:val="24"/>
              </w:rPr>
              <w:t>血糖测试干片</w:t>
            </w:r>
          </w:p>
        </w:tc>
        <w:tc>
          <w:tcPr>
            <w:tcW w:w="539" w:type="pct"/>
            <w:noWrap w:val="0"/>
            <w:vAlign w:val="center"/>
          </w:tcPr>
          <w:p>
            <w:pPr>
              <w:pStyle w:val="5"/>
              <w:spacing w:before="0" w:beforeAutospacing="0" w:after="0" w:afterAutospacing="0"/>
              <w:jc w:val="center"/>
              <w:rPr>
                <w:rFonts w:ascii="宋体" w:hAnsi="宋体"/>
                <w:kern w:val="2"/>
                <w:sz w:val="24"/>
                <w:szCs w:val="24"/>
              </w:rPr>
            </w:pPr>
            <w:r>
              <w:rPr>
                <w:rFonts w:hint="eastAsia" w:ascii="宋体" w:hAnsi="宋体"/>
                <w:kern w:val="2"/>
                <w:sz w:val="24"/>
                <w:szCs w:val="24"/>
              </w:rPr>
              <w:t>200000片</w:t>
            </w:r>
          </w:p>
        </w:tc>
        <w:tc>
          <w:tcPr>
            <w:tcW w:w="3399" w:type="pct"/>
            <w:noWrap w:val="0"/>
            <w:vAlign w:val="center"/>
          </w:tcPr>
          <w:p>
            <w:pPr>
              <w:pStyle w:val="5"/>
              <w:spacing w:before="0" w:beforeAutospacing="0" w:after="0" w:afterAutospacing="0" w:line="500" w:lineRule="exact"/>
              <w:rPr>
                <w:rFonts w:hint="eastAsia" w:ascii="宋体" w:hAnsi="宋体"/>
                <w:kern w:val="2"/>
                <w:sz w:val="24"/>
                <w:szCs w:val="24"/>
              </w:rPr>
            </w:pPr>
            <w:r>
              <w:rPr>
                <w:rFonts w:hint="eastAsia" w:ascii="宋体" w:hAnsi="宋体" w:cs="Segoe UI"/>
                <w:kern w:val="0"/>
                <w:sz w:val="24"/>
                <w:szCs w:val="24"/>
              </w:rPr>
              <w:t>▲</w:t>
            </w:r>
            <w:r>
              <w:rPr>
                <w:rFonts w:hint="eastAsia" w:ascii="宋体" w:hAnsi="宋体"/>
                <w:kern w:val="2"/>
                <w:sz w:val="24"/>
                <w:szCs w:val="24"/>
              </w:rPr>
              <w:t>1.用途：用于定量检测毛细血管全血、静脉全血、动脉全血、新生儿全血的葡萄糖含量。</w:t>
            </w:r>
          </w:p>
          <w:p>
            <w:pPr>
              <w:pStyle w:val="5"/>
              <w:spacing w:before="0" w:beforeAutospacing="0" w:after="0" w:afterAutospacing="0" w:line="500" w:lineRule="exact"/>
              <w:rPr>
                <w:rFonts w:hint="eastAsia" w:ascii="宋体" w:hAnsi="宋体"/>
                <w:kern w:val="2"/>
                <w:sz w:val="24"/>
                <w:szCs w:val="24"/>
              </w:rPr>
            </w:pPr>
            <w:r>
              <w:rPr>
                <w:rFonts w:hint="eastAsia" w:ascii="宋体" w:hAnsi="宋体" w:cs="Segoe UI"/>
                <w:kern w:val="0"/>
                <w:sz w:val="24"/>
                <w:szCs w:val="24"/>
              </w:rPr>
              <w:t>▲</w:t>
            </w:r>
            <w:r>
              <w:rPr>
                <w:rFonts w:hint="eastAsia" w:ascii="宋体" w:hAnsi="宋体"/>
                <w:kern w:val="2"/>
                <w:sz w:val="24"/>
                <w:szCs w:val="24"/>
              </w:rPr>
              <w:t>2.可检测范围：0.6-33.3 mmol/L (10-600 mg/dL)。</w:t>
            </w:r>
          </w:p>
          <w:p>
            <w:pPr>
              <w:pStyle w:val="5"/>
              <w:spacing w:before="0" w:beforeAutospacing="0" w:after="0" w:afterAutospacing="0" w:line="500" w:lineRule="exact"/>
              <w:rPr>
                <w:rFonts w:hint="eastAsia" w:ascii="宋体" w:hAnsi="宋体"/>
                <w:kern w:val="2"/>
                <w:sz w:val="24"/>
                <w:szCs w:val="24"/>
              </w:rPr>
            </w:pPr>
            <w:r>
              <w:rPr>
                <w:rFonts w:hint="eastAsia" w:ascii="宋体" w:hAnsi="宋体"/>
                <w:kern w:val="2"/>
                <w:sz w:val="24"/>
                <w:szCs w:val="24"/>
              </w:rPr>
              <w:t>3.血样量：0.8-1.2μL</w:t>
            </w:r>
          </w:p>
          <w:p>
            <w:pPr>
              <w:pStyle w:val="5"/>
              <w:spacing w:before="0" w:beforeAutospacing="0" w:after="0" w:afterAutospacing="0" w:line="500" w:lineRule="exact"/>
              <w:rPr>
                <w:rFonts w:hint="eastAsia" w:ascii="宋体" w:hAnsi="宋体"/>
                <w:kern w:val="2"/>
                <w:sz w:val="24"/>
                <w:szCs w:val="24"/>
              </w:rPr>
            </w:pPr>
            <w:r>
              <w:rPr>
                <w:rFonts w:hint="eastAsia" w:ascii="宋体" w:hAnsi="宋体"/>
                <w:kern w:val="2"/>
                <w:sz w:val="24"/>
                <w:szCs w:val="24"/>
              </w:rPr>
              <w:t>4.精密度：当血糖浓度&lt;5.5 mmoL/L时，标准差(SD)应&lt;0.42 mmol/L；当血糖浓度≥5.5 mmol/L时，变异系数(CV)应&lt;7.5％。</w:t>
            </w:r>
          </w:p>
          <w:p>
            <w:pPr>
              <w:pStyle w:val="5"/>
              <w:spacing w:before="0" w:beforeAutospacing="0" w:after="0" w:afterAutospacing="0" w:line="500" w:lineRule="exact"/>
              <w:rPr>
                <w:rFonts w:hint="eastAsia" w:ascii="宋体" w:hAnsi="宋体"/>
                <w:kern w:val="2"/>
                <w:sz w:val="24"/>
                <w:szCs w:val="24"/>
              </w:rPr>
            </w:pPr>
            <w:r>
              <w:rPr>
                <w:rFonts w:hint="eastAsia" w:ascii="宋体" w:hAnsi="宋体"/>
                <w:kern w:val="2"/>
                <w:sz w:val="24"/>
                <w:szCs w:val="24"/>
                <w:lang w:val="en-US" w:eastAsia="zh-CN"/>
              </w:rPr>
              <w:t>5</w:t>
            </w:r>
            <w:r>
              <w:rPr>
                <w:rFonts w:hint="eastAsia" w:ascii="宋体" w:hAnsi="宋体"/>
                <w:kern w:val="2"/>
                <w:sz w:val="24"/>
                <w:szCs w:val="24"/>
              </w:rPr>
              <w:t>.准确度：血糖测试条和血糖仪对葡萄糖的回收率为80%-120%。</w:t>
            </w:r>
          </w:p>
          <w:p>
            <w:pPr>
              <w:pStyle w:val="5"/>
              <w:spacing w:before="0" w:beforeAutospacing="0" w:after="0" w:afterAutospacing="0" w:line="500" w:lineRule="exact"/>
              <w:rPr>
                <w:rFonts w:hint="eastAsia" w:ascii="宋体" w:hAnsi="宋体"/>
                <w:kern w:val="2"/>
                <w:sz w:val="24"/>
                <w:szCs w:val="24"/>
              </w:rPr>
            </w:pPr>
            <w:r>
              <w:rPr>
                <w:rFonts w:hint="eastAsia" w:ascii="宋体" w:hAnsi="宋体"/>
                <w:kern w:val="2"/>
                <w:sz w:val="24"/>
                <w:szCs w:val="24"/>
                <w:lang w:val="en-US" w:eastAsia="zh-CN"/>
              </w:rPr>
              <w:t>6</w:t>
            </w:r>
            <w:r>
              <w:rPr>
                <w:rFonts w:hint="eastAsia" w:ascii="宋体" w:hAnsi="宋体"/>
                <w:kern w:val="2"/>
                <w:sz w:val="24"/>
                <w:szCs w:val="24"/>
              </w:rPr>
              <w:t>.批间差：不同批号血糖测试条的批间差应不大于15%。</w:t>
            </w:r>
          </w:p>
          <w:p>
            <w:pPr>
              <w:pStyle w:val="5"/>
              <w:spacing w:before="0" w:beforeAutospacing="0" w:after="0" w:afterAutospacing="0" w:line="500" w:lineRule="exact"/>
              <w:rPr>
                <w:rFonts w:hint="eastAsia" w:ascii="宋体" w:hAnsi="宋体"/>
                <w:kern w:val="2"/>
                <w:sz w:val="24"/>
                <w:szCs w:val="24"/>
              </w:rPr>
            </w:pPr>
            <w:r>
              <w:rPr>
                <w:rFonts w:hint="eastAsia" w:ascii="宋体" w:hAnsi="宋体"/>
                <w:kern w:val="2"/>
                <w:sz w:val="24"/>
                <w:szCs w:val="24"/>
                <w:lang w:val="en-US" w:eastAsia="zh-CN"/>
              </w:rPr>
              <w:t>7</w:t>
            </w:r>
            <w:r>
              <w:rPr>
                <w:rFonts w:hint="eastAsia" w:ascii="宋体" w:hAnsi="宋体"/>
                <w:kern w:val="2"/>
                <w:sz w:val="24"/>
                <w:szCs w:val="24"/>
              </w:rPr>
              <w:t>.稳定性：室温储存条件下，开瓶有效期6个月，未开瓶有效期18个月。</w:t>
            </w:r>
          </w:p>
          <w:p>
            <w:pPr>
              <w:pStyle w:val="5"/>
              <w:spacing w:before="0" w:beforeAutospacing="0" w:after="0" w:afterAutospacing="0" w:line="500" w:lineRule="exact"/>
              <w:rPr>
                <w:rFonts w:ascii="宋体" w:hAnsi="宋体"/>
                <w:kern w:val="2"/>
                <w:sz w:val="24"/>
                <w:szCs w:val="24"/>
              </w:rPr>
            </w:pPr>
            <w:r>
              <w:rPr>
                <w:rFonts w:hint="eastAsia" w:ascii="宋体" w:hAnsi="宋体"/>
                <w:kern w:val="2"/>
                <w:sz w:val="24"/>
                <w:szCs w:val="24"/>
                <w:lang w:val="en-US" w:eastAsia="zh-CN"/>
              </w:rPr>
              <w:t>8</w:t>
            </w:r>
            <w:r>
              <w:rPr>
                <w:rFonts w:hint="eastAsia" w:ascii="宋体" w:hAnsi="宋体"/>
                <w:kern w:val="2"/>
                <w:sz w:val="24"/>
                <w:szCs w:val="24"/>
              </w:rPr>
              <w:t>.抗干扰性能：维生素C、对乙酰氨基酚、尿酸、胆红素等物质在新生儿生理浓度或治疗浓度下，对测试结果无影响。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335" w:type="pct"/>
            <w:noWrap w:val="0"/>
            <w:vAlign w:val="center"/>
          </w:tcPr>
          <w:p>
            <w:pPr>
              <w:autoSpaceDE w:val="0"/>
              <w:autoSpaceDN w:val="0"/>
              <w:jc w:val="center"/>
              <w:rPr>
                <w:rFonts w:hint="eastAsia" w:ascii="宋体" w:hAnsi="宋体"/>
                <w:sz w:val="24"/>
                <w:szCs w:val="24"/>
              </w:rPr>
            </w:pPr>
            <w:r>
              <w:rPr>
                <w:rFonts w:hint="eastAsia" w:ascii="宋体" w:hAnsi="宋体"/>
                <w:sz w:val="24"/>
                <w:szCs w:val="24"/>
              </w:rPr>
              <w:t>3</w:t>
            </w:r>
          </w:p>
        </w:tc>
        <w:tc>
          <w:tcPr>
            <w:tcW w:w="724" w:type="pct"/>
            <w:noWrap w:val="0"/>
            <w:vAlign w:val="center"/>
          </w:tcPr>
          <w:p>
            <w:pPr>
              <w:widowControl/>
              <w:jc w:val="center"/>
              <w:textAlignment w:val="center"/>
              <w:rPr>
                <w:rFonts w:hint="eastAsia" w:ascii="宋体" w:hAnsi="宋体"/>
                <w:sz w:val="24"/>
              </w:rPr>
            </w:pPr>
            <w:r>
              <w:rPr>
                <w:rFonts w:hint="eastAsia" w:ascii="宋体" w:hAnsi="宋体"/>
                <w:sz w:val="24"/>
              </w:rPr>
              <w:t>一次性使用无菌注射针</w:t>
            </w:r>
          </w:p>
        </w:tc>
        <w:tc>
          <w:tcPr>
            <w:tcW w:w="539" w:type="pct"/>
            <w:noWrap w:val="0"/>
            <w:vAlign w:val="center"/>
          </w:tcPr>
          <w:p>
            <w:pPr>
              <w:pStyle w:val="5"/>
              <w:spacing w:before="0" w:beforeAutospacing="0" w:after="0" w:afterAutospacing="0"/>
              <w:jc w:val="center"/>
              <w:rPr>
                <w:rFonts w:ascii="宋体" w:hAnsi="宋体"/>
                <w:kern w:val="2"/>
                <w:sz w:val="24"/>
                <w:szCs w:val="24"/>
              </w:rPr>
            </w:pPr>
            <w:r>
              <w:rPr>
                <w:rFonts w:hint="eastAsia" w:ascii="宋体" w:hAnsi="宋体"/>
                <w:kern w:val="2"/>
                <w:sz w:val="24"/>
                <w:szCs w:val="24"/>
              </w:rPr>
              <w:t>4000枚</w:t>
            </w:r>
          </w:p>
        </w:tc>
        <w:tc>
          <w:tcPr>
            <w:tcW w:w="3399" w:type="pct"/>
            <w:noWrap w:val="0"/>
            <w:vAlign w:val="center"/>
          </w:tcPr>
          <w:p>
            <w:pPr>
              <w:pStyle w:val="5"/>
              <w:spacing w:before="0" w:beforeAutospacing="0" w:after="0" w:afterAutospacing="0" w:line="500" w:lineRule="exact"/>
              <w:rPr>
                <w:rFonts w:hint="eastAsia" w:ascii="宋体" w:hAnsi="宋体"/>
                <w:kern w:val="2"/>
                <w:sz w:val="24"/>
                <w:szCs w:val="24"/>
              </w:rPr>
            </w:pPr>
            <w:r>
              <w:rPr>
                <w:rFonts w:hint="eastAsia" w:ascii="宋体" w:hAnsi="宋体"/>
                <w:kern w:val="2"/>
                <w:sz w:val="24"/>
                <w:szCs w:val="24"/>
              </w:rPr>
              <w:t>1.适用范围：产品适用于临床与胰岛素笔产品配套使用，可以通配目前市场上现有的胰岛素笔，如拜林笔、优伴笔、诺和笔等。</w:t>
            </w:r>
          </w:p>
          <w:p>
            <w:pPr>
              <w:pStyle w:val="5"/>
              <w:spacing w:before="0" w:beforeAutospacing="0" w:after="0" w:afterAutospacing="0" w:line="500" w:lineRule="exact"/>
              <w:rPr>
                <w:rFonts w:hint="eastAsia" w:ascii="宋体" w:hAnsi="宋体"/>
                <w:kern w:val="2"/>
                <w:sz w:val="24"/>
                <w:szCs w:val="24"/>
              </w:rPr>
            </w:pPr>
            <w:r>
              <w:rPr>
                <w:rFonts w:hint="eastAsia" w:ascii="宋体" w:hAnsi="宋体"/>
                <w:kern w:val="2"/>
                <w:sz w:val="24"/>
                <w:szCs w:val="24"/>
              </w:rPr>
              <w:t>2.型号和规格：可提供胰岛素针的大多数常用型号和规格。</w:t>
            </w:r>
          </w:p>
          <w:p>
            <w:pPr>
              <w:pStyle w:val="5"/>
              <w:spacing w:before="0" w:beforeAutospacing="0" w:after="0" w:afterAutospacing="0" w:line="500" w:lineRule="exact"/>
              <w:rPr>
                <w:rFonts w:ascii="宋体" w:hAnsi="宋体"/>
                <w:kern w:val="2"/>
                <w:sz w:val="24"/>
                <w:szCs w:val="24"/>
              </w:rPr>
            </w:pPr>
            <w:r>
              <w:rPr>
                <w:rFonts w:hint="eastAsia" w:ascii="宋体" w:hAnsi="宋体"/>
                <w:kern w:val="2"/>
                <w:sz w:val="24"/>
                <w:szCs w:val="24"/>
              </w:rPr>
              <w:t>3.针尖锋利、针管超细。</w:t>
            </w:r>
          </w:p>
        </w:tc>
      </w:tr>
    </w:tbl>
    <w:p>
      <w:pPr>
        <w:pStyle w:val="4"/>
        <w:spacing w:line="360" w:lineRule="auto"/>
        <w:ind w:left="283" w:leftChars="135" w:firstLine="0" w:firstLineChars="0"/>
        <w:rPr>
          <w:rFonts w:hint="eastAsia" w:ascii="宋体" w:hAnsi="宋体" w:cs="仿宋"/>
          <w:b/>
          <w:bCs/>
          <w:sz w:val="24"/>
        </w:rPr>
      </w:pPr>
      <w:r>
        <w:rPr>
          <w:rFonts w:hint="eastAsia" w:ascii="宋体" w:hAnsi="宋体" w:cs="仿宋"/>
          <w:sz w:val="24"/>
          <w:lang w:val="en-US" w:eastAsia="zh-CN"/>
        </w:rPr>
        <w:t>1.2</w:t>
      </w:r>
      <w:r>
        <w:rPr>
          <w:rFonts w:hint="eastAsia" w:ascii="宋体" w:hAnsi="宋体" w:cs="仿宋"/>
          <w:sz w:val="24"/>
        </w:rPr>
        <w:t>技术服务要求：</w:t>
      </w:r>
    </w:p>
    <w:p>
      <w:pPr>
        <w:pStyle w:val="4"/>
        <w:spacing w:line="400" w:lineRule="exact"/>
        <w:ind w:firstLine="480"/>
        <w:rPr>
          <w:rFonts w:hint="eastAsia" w:ascii="宋体" w:hAnsi="宋体" w:cs="仿宋"/>
          <w:sz w:val="24"/>
        </w:rPr>
      </w:pPr>
      <w:r>
        <w:rPr>
          <w:rFonts w:hint="eastAsia" w:ascii="宋体" w:hAnsi="宋体" w:eastAsia="宋体" w:cs="仿宋"/>
          <w:sz w:val="24"/>
          <w:szCs w:val="24"/>
        </w:rPr>
        <w:t>★</w:t>
      </w:r>
      <w:r>
        <w:rPr>
          <w:rFonts w:hint="eastAsia" w:ascii="宋体" w:hAnsi="宋体" w:cs="仿宋"/>
          <w:sz w:val="24"/>
        </w:rPr>
        <w:t>1.</w:t>
      </w:r>
      <w:r>
        <w:rPr>
          <w:rFonts w:hint="eastAsia" w:ascii="宋体" w:hAnsi="宋体" w:cs="仿宋"/>
          <w:sz w:val="24"/>
          <w:lang w:val="en-US" w:eastAsia="zh-CN"/>
        </w:rPr>
        <w:t>2.1</w:t>
      </w:r>
      <w:r>
        <w:rPr>
          <w:rFonts w:hint="eastAsia" w:ascii="宋体" w:hAnsi="宋体" w:cs="仿宋"/>
          <w:sz w:val="24"/>
        </w:rPr>
        <w:t>供应商须为四川省药械集中采购及价格监管平台挂网公示产品，提供产品挂网商品代码；</w:t>
      </w:r>
    </w:p>
    <w:p>
      <w:pPr>
        <w:pStyle w:val="4"/>
        <w:spacing w:line="400" w:lineRule="exact"/>
        <w:ind w:firstLine="480"/>
        <w:rPr>
          <w:rFonts w:hint="eastAsia" w:ascii="宋体" w:hAnsi="宋体" w:cs="仿宋"/>
          <w:sz w:val="24"/>
        </w:rPr>
      </w:pPr>
      <w:r>
        <w:rPr>
          <w:rFonts w:hint="eastAsia" w:ascii="宋体" w:hAnsi="宋体" w:eastAsia="宋体" w:cs="仿宋"/>
          <w:sz w:val="24"/>
          <w:szCs w:val="24"/>
        </w:rPr>
        <w:t>★</w:t>
      </w:r>
      <w:r>
        <w:rPr>
          <w:rFonts w:hint="eastAsia" w:ascii="宋体" w:hAnsi="宋体" w:eastAsia="宋体" w:cs="仿宋"/>
          <w:sz w:val="24"/>
          <w:szCs w:val="24"/>
          <w:lang w:val="en-US" w:eastAsia="zh-CN"/>
        </w:rPr>
        <w:t>1.2.</w:t>
      </w:r>
      <w:r>
        <w:rPr>
          <w:rFonts w:hint="eastAsia" w:ascii="宋体" w:hAnsi="宋体" w:cs="仿宋"/>
          <w:sz w:val="24"/>
        </w:rPr>
        <w:t>2对于检测需要配套仪器的，要求供应商为医院提供足够临床科室使用的单机版和联网版血糖测试仪。</w:t>
      </w:r>
    </w:p>
    <w:p>
      <w:pPr>
        <w:pStyle w:val="4"/>
        <w:spacing w:line="400" w:lineRule="exact"/>
        <w:ind w:firstLine="480"/>
        <w:rPr>
          <w:rFonts w:hint="eastAsia" w:ascii="宋体" w:hAnsi="宋体" w:cs="仿宋"/>
          <w:sz w:val="24"/>
        </w:rPr>
      </w:pPr>
      <w:r>
        <w:rPr>
          <w:rFonts w:hint="eastAsia" w:ascii="宋体" w:hAnsi="宋体" w:eastAsia="宋体" w:cs="仿宋"/>
          <w:sz w:val="24"/>
          <w:szCs w:val="24"/>
        </w:rPr>
        <w:t>★</w:t>
      </w:r>
      <w:r>
        <w:rPr>
          <w:rFonts w:hint="eastAsia" w:ascii="宋体" w:hAnsi="宋体" w:eastAsia="宋体" w:cs="仿宋"/>
          <w:sz w:val="24"/>
          <w:szCs w:val="24"/>
          <w:lang w:val="en-US" w:eastAsia="zh-CN"/>
        </w:rPr>
        <w:t>1.2.</w:t>
      </w:r>
      <w:r>
        <w:rPr>
          <w:rFonts w:hint="eastAsia" w:ascii="宋体" w:hAnsi="宋体" w:cs="仿宋"/>
          <w:sz w:val="24"/>
        </w:rPr>
        <w:t>3血糖仪要能与医院信息系统（HIS）以及实验室信息系统（LIS）相连接，配备专用的管理软件，实现全院室内质控的实时监控、试纸开瓶有效期的监控，满足医院对血糖仪信息化管理的要求。供应商为医院提供血糖管理系统与医院HIS或LIS系统的对接、维护等售后服务，血糖管理系统包括单机版和联网版。</w:t>
      </w:r>
    </w:p>
    <w:p>
      <w:pPr>
        <w:pStyle w:val="4"/>
        <w:spacing w:line="400" w:lineRule="exact"/>
        <w:ind w:firstLine="480"/>
        <w:rPr>
          <w:rFonts w:hint="eastAsia" w:ascii="宋体" w:hAnsi="宋体" w:cs="仿宋"/>
          <w:sz w:val="24"/>
        </w:rPr>
      </w:pPr>
      <w:r>
        <w:rPr>
          <w:rFonts w:hint="eastAsia" w:ascii="宋体" w:hAnsi="宋体" w:cs="仿宋"/>
          <w:sz w:val="24"/>
          <w:lang w:val="en-US" w:eastAsia="zh-CN"/>
        </w:rPr>
        <w:t>1.2.</w:t>
      </w:r>
      <w:r>
        <w:rPr>
          <w:rFonts w:hint="eastAsia" w:ascii="宋体" w:hAnsi="宋体" w:cs="仿宋"/>
          <w:sz w:val="24"/>
        </w:rPr>
        <w:t>4检测仪器性能要求：</w:t>
      </w:r>
    </w:p>
    <w:p>
      <w:pPr>
        <w:pStyle w:val="4"/>
        <w:spacing w:line="400" w:lineRule="exact"/>
        <w:ind w:firstLine="480"/>
        <w:rPr>
          <w:rFonts w:hint="eastAsia" w:ascii="宋体" w:hAnsi="宋体" w:cs="仿宋"/>
          <w:sz w:val="24"/>
        </w:rPr>
      </w:pPr>
      <w:r>
        <w:rPr>
          <w:rFonts w:hint="eastAsia" w:ascii="宋体" w:hAnsi="宋体" w:cs="仿宋"/>
          <w:sz w:val="24"/>
          <w:lang w:val="en-US" w:eastAsia="zh-CN"/>
        </w:rPr>
        <w:t>1.2.</w:t>
      </w:r>
      <w:r>
        <w:rPr>
          <w:rFonts w:hint="eastAsia" w:ascii="宋体" w:hAnsi="宋体" w:cs="仿宋"/>
          <w:sz w:val="24"/>
        </w:rPr>
        <w:t>4.1测试时间：5秒±1秒：</w:t>
      </w:r>
    </w:p>
    <w:p>
      <w:pPr>
        <w:pStyle w:val="4"/>
        <w:spacing w:line="400" w:lineRule="exact"/>
        <w:ind w:firstLine="480"/>
        <w:rPr>
          <w:rFonts w:hint="eastAsia" w:ascii="宋体" w:hAnsi="宋体" w:cs="仿宋"/>
          <w:sz w:val="24"/>
        </w:rPr>
      </w:pPr>
      <w:r>
        <w:rPr>
          <w:rFonts w:hint="eastAsia" w:ascii="宋体" w:hAnsi="宋体" w:cs="仿宋"/>
          <w:sz w:val="24"/>
          <w:lang w:val="en-US" w:eastAsia="zh-CN"/>
        </w:rPr>
        <w:t>1.2.</w:t>
      </w:r>
      <w:r>
        <w:rPr>
          <w:rFonts w:hint="eastAsia" w:ascii="宋体" w:hAnsi="宋体" w:cs="仿宋"/>
          <w:sz w:val="24"/>
        </w:rPr>
        <w:t>4.2可提供联网血糖仪；</w:t>
      </w:r>
    </w:p>
    <w:p>
      <w:pPr>
        <w:pStyle w:val="4"/>
        <w:spacing w:line="400" w:lineRule="exact"/>
        <w:ind w:firstLine="480"/>
        <w:rPr>
          <w:rFonts w:hint="eastAsia" w:ascii="宋体" w:hAnsi="宋体" w:cs="仿宋"/>
          <w:sz w:val="24"/>
        </w:rPr>
      </w:pPr>
      <w:r>
        <w:rPr>
          <w:rFonts w:hint="eastAsia" w:ascii="宋体" w:hAnsi="宋体" w:cs="仿宋"/>
          <w:sz w:val="24"/>
          <w:lang w:val="en-US" w:eastAsia="zh-CN"/>
        </w:rPr>
        <w:t>1.2.</w:t>
      </w:r>
      <w:r>
        <w:rPr>
          <w:rFonts w:hint="eastAsia" w:ascii="宋体" w:hAnsi="宋体" w:cs="仿宋"/>
          <w:sz w:val="24"/>
        </w:rPr>
        <w:t>4.3压积范围20-65%，仪器自动测量红细胞压积率以纠正血糖测量结果；</w:t>
      </w:r>
    </w:p>
    <w:p>
      <w:pPr>
        <w:pStyle w:val="4"/>
        <w:spacing w:line="400" w:lineRule="exact"/>
        <w:ind w:firstLine="480"/>
        <w:rPr>
          <w:rFonts w:hint="eastAsia" w:ascii="宋体" w:hAnsi="宋体" w:cs="仿宋"/>
          <w:sz w:val="24"/>
        </w:rPr>
      </w:pPr>
      <w:r>
        <w:rPr>
          <w:rFonts w:hint="eastAsia" w:ascii="宋体" w:hAnsi="宋体" w:cs="仿宋"/>
          <w:sz w:val="24"/>
          <w:lang w:val="en-US" w:eastAsia="zh-CN"/>
        </w:rPr>
        <w:t>1.2.</w:t>
      </w:r>
      <w:r>
        <w:rPr>
          <w:rFonts w:hint="eastAsia" w:ascii="宋体" w:hAnsi="宋体" w:cs="仿宋"/>
          <w:sz w:val="24"/>
        </w:rPr>
        <w:t>4.4仪器具备血糖纸片检测后推射功能；</w:t>
      </w:r>
    </w:p>
    <w:p>
      <w:pPr>
        <w:pStyle w:val="4"/>
        <w:spacing w:line="400" w:lineRule="exact"/>
        <w:ind w:firstLine="480"/>
        <w:rPr>
          <w:rFonts w:hint="eastAsia" w:ascii="宋体" w:hAnsi="宋体" w:cs="仿宋"/>
          <w:sz w:val="24"/>
          <w:highlight w:val="none"/>
        </w:rPr>
      </w:pPr>
      <w:r>
        <w:rPr>
          <w:rFonts w:hint="eastAsia" w:ascii="宋体" w:hAnsi="宋体" w:eastAsia="宋体" w:cs="仿宋"/>
          <w:sz w:val="24"/>
          <w:szCs w:val="24"/>
          <w:highlight w:val="none"/>
        </w:rPr>
        <w:t>★</w:t>
      </w:r>
      <w:r>
        <w:rPr>
          <w:rFonts w:hint="eastAsia" w:ascii="宋体" w:hAnsi="宋体" w:eastAsia="宋体" w:cs="仿宋"/>
          <w:sz w:val="24"/>
          <w:szCs w:val="24"/>
          <w:highlight w:val="none"/>
          <w:lang w:val="en-US" w:eastAsia="zh-CN"/>
        </w:rPr>
        <w:t>1.2.</w:t>
      </w:r>
      <w:r>
        <w:rPr>
          <w:rFonts w:hint="eastAsia" w:ascii="宋体" w:hAnsi="宋体" w:cs="仿宋"/>
          <w:sz w:val="24"/>
          <w:highlight w:val="none"/>
        </w:rPr>
        <w:t>5供应商都应具备以上所有类别材料的供货资质，资质不全或缺少报价则视为不响应。</w:t>
      </w:r>
    </w:p>
    <w:p>
      <w:pPr>
        <w:pStyle w:val="4"/>
        <w:spacing w:line="400" w:lineRule="exact"/>
        <w:ind w:firstLine="480"/>
        <w:rPr>
          <w:rFonts w:hint="eastAsia" w:ascii="宋体"/>
          <w:color w:val="000000"/>
          <w:sz w:val="24"/>
          <w:highlight w:val="none"/>
        </w:rPr>
      </w:pPr>
      <w:r>
        <w:rPr>
          <w:rFonts w:hint="eastAsia" w:ascii="宋体" w:hAnsi="宋体" w:cs="仿宋"/>
          <w:sz w:val="24"/>
          <w:highlight w:val="none"/>
        </w:rPr>
        <w:t>（三）</w:t>
      </w:r>
      <w:r>
        <w:rPr>
          <w:rFonts w:hint="eastAsia" w:ascii="宋体" w:hAnsi="宋体" w:cs="仿宋"/>
          <w:b/>
          <w:bCs/>
          <w:sz w:val="24"/>
          <w:highlight w:val="none"/>
        </w:rPr>
        <w:t>商务要求：</w:t>
      </w:r>
    </w:p>
    <w:p>
      <w:pPr>
        <w:pStyle w:val="4"/>
        <w:spacing w:line="400" w:lineRule="exact"/>
        <w:ind w:firstLine="480"/>
        <w:rPr>
          <w:rFonts w:hint="eastAsia" w:ascii="宋体"/>
          <w:color w:val="000000"/>
          <w:sz w:val="24"/>
          <w:highlight w:val="none"/>
        </w:rPr>
      </w:pPr>
      <w:r>
        <w:rPr>
          <w:rFonts w:hint="eastAsia" w:ascii="宋体"/>
          <w:color w:val="000000"/>
          <w:sz w:val="24"/>
          <w:highlight w:val="none"/>
        </w:rPr>
        <w:t>★1.付款方法和条件：</w:t>
      </w:r>
    </w:p>
    <w:p>
      <w:pPr>
        <w:pStyle w:val="4"/>
        <w:numPr>
          <w:ilvl w:val="0"/>
          <w:numId w:val="0"/>
        </w:numPr>
        <w:spacing w:line="400" w:lineRule="exact"/>
        <w:ind w:left="420" w:firstLine="0" w:firstLineChars="0"/>
        <w:rPr>
          <w:rFonts w:hint="eastAsia" w:ascii="宋体"/>
          <w:color w:val="000000"/>
          <w:sz w:val="24"/>
        </w:rPr>
      </w:pPr>
      <w:r>
        <w:rPr>
          <w:rFonts w:hint="eastAsia" w:ascii="宋体"/>
          <w:color w:val="000000"/>
          <w:sz w:val="24"/>
          <w:lang w:val="en-US" w:eastAsia="zh-CN"/>
        </w:rPr>
        <w:t>1.1</w:t>
      </w:r>
      <w:r>
        <w:rPr>
          <w:rFonts w:hint="eastAsia" w:ascii="宋体"/>
          <w:color w:val="000000"/>
          <w:sz w:val="24"/>
        </w:rPr>
        <w:t>采购人自收到供应商配送的耗材产品，验收合格入库后，供应商按照采购人要求每月进行对账，采购人按以下方式支付货款：</w:t>
      </w:r>
    </w:p>
    <w:p>
      <w:pPr>
        <w:pStyle w:val="4"/>
        <w:spacing w:line="400" w:lineRule="exact"/>
        <w:ind w:firstLine="480"/>
        <w:rPr>
          <w:rFonts w:hint="eastAsia" w:ascii="宋体"/>
          <w:color w:val="000000"/>
          <w:sz w:val="24"/>
        </w:rPr>
      </w:pPr>
      <w:r>
        <w:rPr>
          <w:rFonts w:hint="eastAsia" w:ascii="宋体"/>
          <w:color w:val="000000"/>
          <w:sz w:val="24"/>
        </w:rPr>
        <w:t>方式一：供应商为中小企业（依据国务院批准的中小企业划分标准确定的中型企业、小型企业和微型企业），供应商出具合法有效完整的完税发票及凭证资料后，采购人2个月内支付货款。</w:t>
      </w:r>
    </w:p>
    <w:p>
      <w:pPr>
        <w:pStyle w:val="4"/>
        <w:spacing w:line="400" w:lineRule="exact"/>
        <w:ind w:firstLine="480"/>
        <w:rPr>
          <w:rFonts w:hint="eastAsia" w:ascii="宋体"/>
          <w:color w:val="000000"/>
          <w:sz w:val="24"/>
        </w:rPr>
      </w:pPr>
      <w:r>
        <w:rPr>
          <w:rFonts w:hint="eastAsia" w:ascii="宋体"/>
          <w:color w:val="000000"/>
          <w:sz w:val="24"/>
        </w:rPr>
        <w:t>方式二：供应商为大型企业（方式一中规定的中小企业以外的企业），供应商出具合法有效完整的完税发票及凭证资料后，采购人6个月后支付货款。</w:t>
      </w:r>
    </w:p>
    <w:p>
      <w:pPr>
        <w:pStyle w:val="4"/>
        <w:spacing w:line="400" w:lineRule="exact"/>
        <w:ind w:firstLine="480"/>
        <w:rPr>
          <w:rFonts w:ascii="宋体"/>
          <w:color w:val="000000"/>
          <w:sz w:val="24"/>
        </w:rPr>
      </w:pPr>
      <w:r>
        <w:rPr>
          <w:rFonts w:hint="eastAsia" w:ascii="宋体"/>
          <w:color w:val="000000"/>
          <w:sz w:val="24"/>
          <w:lang w:val="en-US" w:eastAsia="zh-CN"/>
        </w:rPr>
        <w:t>1.2</w:t>
      </w:r>
      <w:r>
        <w:rPr>
          <w:rFonts w:hint="eastAsia" w:ascii="宋体"/>
          <w:color w:val="000000"/>
          <w:sz w:val="24"/>
        </w:rPr>
        <w:t>因供应商供货质量不合格或不符合采购人要求的，采购人有权拒绝付款。</w:t>
      </w:r>
    </w:p>
    <w:p>
      <w:pPr>
        <w:pStyle w:val="4"/>
        <w:spacing w:line="400" w:lineRule="exact"/>
        <w:ind w:firstLine="480"/>
        <w:rPr>
          <w:rFonts w:ascii="宋体"/>
          <w:color w:val="000000"/>
          <w:sz w:val="24"/>
        </w:rPr>
      </w:pPr>
      <w:r>
        <w:rPr>
          <w:rFonts w:hint="eastAsia" w:ascii="宋体"/>
          <w:color w:val="000000"/>
          <w:sz w:val="24"/>
        </w:rPr>
        <w:t>★2</w:t>
      </w:r>
      <w:r>
        <w:rPr>
          <w:rFonts w:ascii="宋体"/>
          <w:color w:val="000000"/>
          <w:sz w:val="24"/>
        </w:rPr>
        <w:t>.</w:t>
      </w:r>
      <w:r>
        <w:rPr>
          <w:rFonts w:ascii="宋体" w:hAnsi="宋体" w:cs="仿宋"/>
          <w:bCs/>
          <w:sz w:val="24"/>
        </w:rPr>
        <w:t>合同</w:t>
      </w:r>
      <w:r>
        <w:rPr>
          <w:rFonts w:hint="eastAsia" w:ascii="宋体" w:hAnsi="宋体" w:cs="仿宋"/>
          <w:bCs/>
          <w:sz w:val="24"/>
        </w:rPr>
        <w:t>履行</w:t>
      </w:r>
      <w:r>
        <w:rPr>
          <w:rFonts w:ascii="宋体" w:hAnsi="宋体" w:cs="仿宋"/>
          <w:bCs/>
          <w:sz w:val="24"/>
        </w:rPr>
        <w:t>期限</w:t>
      </w:r>
      <w:r>
        <w:rPr>
          <w:rFonts w:hint="eastAsia" w:ascii="宋体" w:hAnsi="宋体" w:cs="仿宋"/>
          <w:bCs/>
          <w:sz w:val="24"/>
        </w:rPr>
        <w:t>（供货期）</w:t>
      </w:r>
      <w:r>
        <w:rPr>
          <w:rFonts w:hint="eastAsia" w:ascii="宋体"/>
          <w:color w:val="000000"/>
          <w:sz w:val="24"/>
        </w:rPr>
        <w:t>：3年，</w:t>
      </w:r>
      <w:r>
        <w:rPr>
          <w:rFonts w:hint="eastAsia" w:ascii="宋体"/>
          <w:color w:val="000000"/>
          <w:sz w:val="24"/>
          <w:lang w:eastAsia="zh-CN"/>
        </w:rPr>
        <w:t>每年</w:t>
      </w:r>
      <w:r>
        <w:rPr>
          <w:rFonts w:hint="eastAsia" w:ascii="宋体"/>
          <w:color w:val="000000"/>
          <w:sz w:val="24"/>
        </w:rPr>
        <w:t>采购数量以实际使用量为准</w:t>
      </w:r>
      <w:r>
        <w:rPr>
          <w:rFonts w:hint="eastAsia" w:ascii="宋体"/>
          <w:color w:val="000000"/>
          <w:sz w:val="24"/>
          <w:lang w:val="en-US" w:eastAsia="zh-CN"/>
        </w:rPr>
        <w:t>。</w:t>
      </w:r>
      <w:r>
        <w:rPr>
          <w:rFonts w:hint="eastAsia" w:ascii="宋体"/>
          <w:color w:val="000000"/>
          <w:sz w:val="24"/>
          <w:lang w:eastAsia="zh-CN"/>
        </w:rPr>
        <w:t>供应商</w:t>
      </w:r>
      <w:r>
        <w:rPr>
          <w:rFonts w:hint="eastAsia" w:ascii="宋体"/>
          <w:color w:val="000000"/>
          <w:sz w:val="24"/>
        </w:rPr>
        <w:t>必须按</w:t>
      </w:r>
      <w:r>
        <w:rPr>
          <w:rFonts w:hint="eastAsia" w:ascii="宋体"/>
          <w:color w:val="000000"/>
          <w:sz w:val="24"/>
          <w:lang w:eastAsia="zh-CN"/>
        </w:rPr>
        <w:t>采购人</w:t>
      </w:r>
      <w:r>
        <w:rPr>
          <w:rFonts w:hint="eastAsia" w:ascii="宋体"/>
          <w:color w:val="000000"/>
          <w:sz w:val="24"/>
        </w:rPr>
        <w:t>要求提前备货，并在接到</w:t>
      </w:r>
      <w:r>
        <w:rPr>
          <w:rFonts w:hint="eastAsia" w:ascii="宋体"/>
          <w:color w:val="000000"/>
          <w:sz w:val="24"/>
          <w:lang w:eastAsia="zh-CN"/>
        </w:rPr>
        <w:t>采购人</w:t>
      </w:r>
      <w:r>
        <w:rPr>
          <w:rFonts w:hint="eastAsia" w:ascii="宋体"/>
          <w:color w:val="000000"/>
          <w:sz w:val="24"/>
        </w:rPr>
        <w:t>通知后24小时内将本合同约定的产品送到</w:t>
      </w:r>
      <w:r>
        <w:rPr>
          <w:rFonts w:hint="eastAsia" w:ascii="宋体"/>
          <w:color w:val="000000"/>
          <w:sz w:val="24"/>
          <w:lang w:eastAsia="zh-CN"/>
        </w:rPr>
        <w:t>采购人</w:t>
      </w:r>
      <w:r>
        <w:rPr>
          <w:rFonts w:hint="eastAsia" w:ascii="宋体"/>
          <w:color w:val="000000"/>
          <w:sz w:val="24"/>
        </w:rPr>
        <w:t>指定地点；如果</w:t>
      </w:r>
      <w:r>
        <w:rPr>
          <w:rFonts w:hint="eastAsia" w:ascii="宋体"/>
          <w:color w:val="000000"/>
          <w:sz w:val="24"/>
          <w:lang w:eastAsia="zh-CN"/>
        </w:rPr>
        <w:t>采购人</w:t>
      </w:r>
      <w:r>
        <w:rPr>
          <w:rFonts w:hint="eastAsia" w:ascii="宋体"/>
          <w:color w:val="000000"/>
          <w:sz w:val="24"/>
        </w:rPr>
        <w:t>急需该产品时，应在2小时内送达。如果</w:t>
      </w:r>
      <w:r>
        <w:rPr>
          <w:rFonts w:hint="eastAsia" w:ascii="宋体"/>
          <w:color w:val="000000"/>
          <w:sz w:val="24"/>
          <w:lang w:eastAsia="zh-CN"/>
        </w:rPr>
        <w:t>供应商</w:t>
      </w:r>
      <w:r>
        <w:rPr>
          <w:rFonts w:hint="eastAsia" w:ascii="宋体"/>
          <w:color w:val="000000"/>
          <w:sz w:val="24"/>
        </w:rPr>
        <w:t>配送的产品不符合采购合同中的要求或国家（行业）有关规定时，</w:t>
      </w:r>
      <w:r>
        <w:rPr>
          <w:rFonts w:hint="eastAsia" w:ascii="宋体"/>
          <w:color w:val="000000"/>
          <w:sz w:val="24"/>
          <w:lang w:eastAsia="zh-CN"/>
        </w:rPr>
        <w:t>采购人</w:t>
      </w:r>
      <w:r>
        <w:rPr>
          <w:rFonts w:hint="eastAsia" w:ascii="宋体"/>
          <w:color w:val="000000"/>
          <w:sz w:val="24"/>
        </w:rPr>
        <w:t>有权拒收并要求</w:t>
      </w:r>
      <w:r>
        <w:rPr>
          <w:rFonts w:hint="eastAsia" w:ascii="宋体"/>
          <w:color w:val="000000"/>
          <w:sz w:val="24"/>
          <w:lang w:eastAsia="zh-CN"/>
        </w:rPr>
        <w:t>供应商</w:t>
      </w:r>
      <w:r>
        <w:rPr>
          <w:rFonts w:hint="eastAsia" w:ascii="宋体"/>
          <w:color w:val="000000"/>
          <w:sz w:val="24"/>
        </w:rPr>
        <w:t>在规定时间内及时将符合要求的产品送到。</w:t>
      </w:r>
    </w:p>
    <w:p>
      <w:pPr>
        <w:pStyle w:val="4"/>
        <w:spacing w:line="400" w:lineRule="exact"/>
        <w:ind w:firstLine="480"/>
      </w:pPr>
      <w:r>
        <w:rPr>
          <w:rFonts w:hint="eastAsia" w:ascii="宋体"/>
          <w:color w:val="000000"/>
          <w:sz w:val="24"/>
        </w:rPr>
        <w:t>★3</w:t>
      </w:r>
      <w:r>
        <w:rPr>
          <w:rFonts w:ascii="宋体"/>
          <w:color w:val="000000"/>
          <w:sz w:val="24"/>
        </w:rPr>
        <w:t>.</w:t>
      </w:r>
      <w:r>
        <w:rPr>
          <w:rFonts w:hint="eastAsia" w:ascii="宋体"/>
          <w:color w:val="000000"/>
          <w:sz w:val="24"/>
        </w:rPr>
        <w:t>报价要求：</w:t>
      </w:r>
    </w:p>
    <w:p>
      <w:pPr>
        <w:pStyle w:val="4"/>
        <w:numPr>
          <w:ilvl w:val="0"/>
          <w:numId w:val="0"/>
        </w:numPr>
        <w:spacing w:line="400" w:lineRule="exact"/>
        <w:ind w:firstLine="480"/>
        <w:rPr>
          <w:rFonts w:hint="eastAsia" w:ascii="宋体" w:hAnsi="Times New Roman" w:eastAsia="宋体" w:cs="Times New Roman"/>
          <w:color w:val="000000"/>
          <w:sz w:val="24"/>
          <w:lang w:val="en-US" w:eastAsia="zh-CN"/>
        </w:rPr>
      </w:pPr>
      <w:r>
        <w:rPr>
          <w:rFonts w:hint="eastAsia" w:ascii="宋体" w:hAnsi="Times New Roman" w:eastAsia="宋体" w:cs="Times New Roman"/>
          <w:color w:val="000000"/>
          <w:sz w:val="24"/>
          <w:lang w:val="en-US" w:eastAsia="zh-CN"/>
        </w:rPr>
        <w:t>3.1</w:t>
      </w:r>
      <w:r>
        <w:rPr>
          <w:rFonts w:hint="eastAsia" w:ascii="宋体" w:hAnsi="Times New Roman" w:eastAsia="宋体" w:cs="Times New Roman"/>
          <w:color w:val="000000"/>
          <w:sz w:val="24"/>
        </w:rPr>
        <w:t>供应商所报价格是交货的验收价格，包括货物运输、安装、调试、检验、培训、税金和保险、以及为本项目配备必要的足够临床科室使用的单机版和联网版血糖测试仪、为医院提供血糖管理系统与医院HIS或LIS系统的对接、维护等售后服务，血糖管理系统包括单机版和联网版等费用以及采购文件规定的其他费用均应包含在报价中</w:t>
      </w:r>
      <w:r>
        <w:rPr>
          <w:rFonts w:hint="eastAsia" w:ascii="宋体" w:hAnsi="Times New Roman" w:eastAsia="宋体" w:cs="Times New Roman"/>
          <w:color w:val="000000"/>
          <w:sz w:val="24"/>
          <w:lang w:val="en-US" w:eastAsia="zh-CN"/>
        </w:rPr>
        <w:t>.</w:t>
      </w:r>
    </w:p>
    <w:p>
      <w:pPr>
        <w:pStyle w:val="4"/>
        <w:numPr>
          <w:ilvl w:val="0"/>
          <w:numId w:val="0"/>
        </w:numPr>
        <w:spacing w:line="400" w:lineRule="exact"/>
        <w:ind w:firstLine="480" w:firstLineChars="0"/>
        <w:rPr>
          <w:rFonts w:hint="eastAsia" w:ascii="宋体" w:hAnsi="Times New Roman" w:eastAsia="宋体" w:cs="Times New Roman"/>
          <w:color w:val="000000"/>
          <w:sz w:val="24"/>
        </w:rPr>
      </w:pPr>
      <w:r>
        <w:rPr>
          <w:rFonts w:hint="eastAsia" w:ascii="宋体" w:hAnsi="Times New Roman" w:eastAsia="宋体" w:cs="Times New Roman"/>
          <w:color w:val="000000"/>
          <w:sz w:val="24"/>
          <w:lang w:val="en-US" w:eastAsia="zh-CN"/>
        </w:rPr>
        <w:t>3.2</w:t>
      </w:r>
      <w:r>
        <w:rPr>
          <w:rFonts w:hint="eastAsia" w:ascii="宋体" w:hAnsi="Times New Roman" w:eastAsia="宋体" w:cs="Times New Roman"/>
          <w:color w:val="000000"/>
          <w:sz w:val="24"/>
        </w:rPr>
        <w:t>若同种产品有多种规格型号且涉及不同报价，报价按照不同规格报价的均价计算。</w:t>
      </w:r>
    </w:p>
    <w:p>
      <w:pPr>
        <w:pStyle w:val="4"/>
        <w:spacing w:line="400" w:lineRule="exact"/>
        <w:ind w:firstLine="480"/>
        <w:rPr>
          <w:rFonts w:hint="eastAsia" w:ascii="宋体"/>
          <w:sz w:val="24"/>
        </w:rPr>
      </w:pPr>
      <w:r>
        <w:rPr>
          <w:rFonts w:hint="eastAsia" w:ascii="宋体"/>
          <w:sz w:val="24"/>
          <w:lang w:val="en-US" w:eastAsia="zh-CN"/>
        </w:rPr>
        <w:t>4</w:t>
      </w:r>
      <w:r>
        <w:rPr>
          <w:rFonts w:hint="eastAsia" w:ascii="宋体"/>
          <w:sz w:val="24"/>
        </w:rPr>
        <w:t>.合同结算：本项目的“预估采购数量”、 供应商的“响应总价”仅做为报价评审依据，最终根据实际需求进行相应调整，结算以实际发生量乘以供应商响应单价结算，且不超过每年的预算总价。</w:t>
      </w:r>
    </w:p>
    <w:p>
      <w:pPr>
        <w:pStyle w:val="4"/>
        <w:spacing w:line="400" w:lineRule="exact"/>
        <w:ind w:firstLine="480"/>
        <w:rPr>
          <w:rFonts w:hint="eastAsia" w:ascii="宋体"/>
          <w:sz w:val="24"/>
        </w:rPr>
      </w:pPr>
      <w:r>
        <w:rPr>
          <w:rFonts w:hint="eastAsia" w:ascii="宋体"/>
          <w:sz w:val="24"/>
          <w:lang w:val="en-US" w:eastAsia="zh-CN"/>
        </w:rPr>
        <w:t>5</w:t>
      </w:r>
      <w:r>
        <w:rPr>
          <w:rFonts w:hint="eastAsia" w:ascii="宋体"/>
          <w:sz w:val="24"/>
        </w:rPr>
        <w:t>.质量保证：</w:t>
      </w:r>
    </w:p>
    <w:p>
      <w:pPr>
        <w:pStyle w:val="4"/>
        <w:spacing w:line="400" w:lineRule="exact"/>
        <w:ind w:firstLine="480"/>
        <w:rPr>
          <w:rFonts w:hint="eastAsia" w:ascii="宋体"/>
          <w:sz w:val="24"/>
        </w:rPr>
      </w:pPr>
      <w:r>
        <w:rPr>
          <w:rFonts w:hint="eastAsia" w:ascii="宋体"/>
          <w:sz w:val="24"/>
          <w:lang w:val="en-US" w:eastAsia="zh-CN"/>
        </w:rPr>
        <w:t>5</w:t>
      </w:r>
      <w:r>
        <w:rPr>
          <w:rFonts w:hint="eastAsia" w:ascii="宋体"/>
          <w:sz w:val="24"/>
        </w:rPr>
        <w:t>.1供应商配送保障能力：能严格按照货物的运输要求完成运输全过程，涉及到冷链产品的，成交人须严格按照该产品规定的运输或贮藏要求（提供相应佐证资料），完成产品的交付，如因未按照相关要求运输或贮藏的，采购人有权更换相关产品，如因此情形出现的质量问题，由成交人自行承担。</w:t>
      </w:r>
    </w:p>
    <w:p>
      <w:pPr>
        <w:pStyle w:val="4"/>
        <w:spacing w:line="400" w:lineRule="exact"/>
        <w:ind w:firstLine="480"/>
        <w:rPr>
          <w:rFonts w:hint="eastAsia" w:ascii="宋体"/>
          <w:sz w:val="24"/>
        </w:rPr>
      </w:pPr>
      <w:r>
        <w:rPr>
          <w:rFonts w:hint="eastAsia" w:ascii="宋体"/>
          <w:sz w:val="24"/>
          <w:lang w:val="en-US" w:eastAsia="zh-CN"/>
        </w:rPr>
        <w:t>5</w:t>
      </w:r>
      <w:r>
        <w:rPr>
          <w:rFonts w:hint="eastAsia" w:ascii="宋体"/>
          <w:sz w:val="24"/>
        </w:rPr>
        <w:t>.2供应商保证所供货物原产地真实，产品全新未使用过，质量符合国家标准（在无国家标准时，符合行业标准），不得以假充真，以次充好。如果所供产品的质量不合格或规格不符合采购人要求以及存在任何潜在的缺陷，供应商应在接到采购人通知后3天内负责换货，因换货产生的费用由供应商负担。如因不合格产品给采购人造成损失，供应商还应承担赔偿责任。</w:t>
      </w:r>
    </w:p>
    <w:p>
      <w:pPr>
        <w:pStyle w:val="4"/>
        <w:spacing w:line="400" w:lineRule="exact"/>
        <w:ind w:firstLine="480"/>
        <w:rPr>
          <w:rFonts w:hint="eastAsia" w:ascii="等线 Light" w:hAnsi="等线 Light" w:eastAsia="等线 Light" w:cs="仿宋"/>
          <w:b/>
          <w:sz w:val="24"/>
        </w:rPr>
      </w:pPr>
    </w:p>
    <w:p>
      <w:pPr>
        <w:pStyle w:val="2"/>
        <w:spacing w:after="0" w:line="360" w:lineRule="auto"/>
        <w:ind w:firstLine="473"/>
        <w:rPr>
          <w:rFonts w:ascii="等线 Light" w:hAnsi="等线 Light" w:eastAsia="等线 Light" w:cs="仿宋"/>
          <w:b/>
        </w:rPr>
      </w:pPr>
      <w:r>
        <w:rPr>
          <w:rFonts w:hint="eastAsia" w:ascii="等线 Light" w:hAnsi="等线 Light" w:eastAsia="等线 Light" w:cs="仿宋"/>
          <w:b/>
          <w:sz w:val="24"/>
        </w:rPr>
        <w:t>注：本项目若涉及国家法律法规规定的其他强制性条件，包括工程、医疗器械、特种设备、涉密、计量器具、安全技术防范系统及产品、计算机信息系统安全专业产品类等相关</w:t>
      </w:r>
      <w:r>
        <w:rPr>
          <w:rFonts w:ascii="等线 Light" w:hAnsi="等线 Light" w:eastAsia="等线 Light" w:cs="仿宋"/>
          <w:b/>
          <w:sz w:val="24"/>
        </w:rPr>
        <w:t>领域和强制性产品认证（3C），投标产品需</w:t>
      </w:r>
      <w:r>
        <w:rPr>
          <w:rFonts w:hint="eastAsia" w:ascii="等线 Light" w:hAnsi="等线 Light" w:eastAsia="等线 Light" w:cs="仿宋"/>
          <w:b/>
          <w:sz w:val="24"/>
        </w:rPr>
        <w:t>提供投标文件格式附件</w:t>
      </w:r>
      <w:r>
        <w:rPr>
          <w:rFonts w:hint="eastAsia" w:ascii="等线 Light" w:hAnsi="等线 Light" w:eastAsia="等线 Light" w:cs="仿宋"/>
          <w:b/>
          <w:sz w:val="24"/>
          <w:lang w:val="en-US" w:eastAsia="zh-CN"/>
        </w:rPr>
        <w:t>三</w:t>
      </w:r>
      <w:r>
        <w:rPr>
          <w:rFonts w:hint="eastAsia" w:ascii="等线 Light" w:hAnsi="等线 Light" w:eastAsia="等线 Light" w:cs="仿宋"/>
          <w:b/>
          <w:sz w:val="24"/>
        </w:rPr>
        <w:t>：强制性产品的认证（3C）证书承诺函</w:t>
      </w:r>
      <w:bookmarkStart w:id="2" w:name="_Hlk48919622"/>
      <w:r>
        <w:rPr>
          <w:rFonts w:hint="eastAsia" w:ascii="等线 Light" w:hAnsi="等线 Light" w:eastAsia="等线 Light" w:cs="仿宋"/>
          <w:b/>
          <w:sz w:val="24"/>
        </w:rPr>
        <w:t>或按</w:t>
      </w:r>
      <w:r>
        <w:rPr>
          <w:rFonts w:hint="eastAsia" w:ascii="等线 Light" w:hAnsi="等线 Light" w:eastAsia="等线 Light" w:cs="仿宋"/>
          <w:b/>
          <w:sz w:val="24"/>
          <w:lang w:eastAsia="zh-CN"/>
        </w:rPr>
        <w:t>采购</w:t>
      </w:r>
      <w:r>
        <w:rPr>
          <w:rFonts w:hint="eastAsia" w:ascii="等线 Light" w:hAnsi="等线 Light" w:eastAsia="等线 Light" w:cs="仿宋"/>
          <w:b/>
          <w:sz w:val="24"/>
        </w:rPr>
        <w:t>文件要求提供相关资料</w:t>
      </w:r>
      <w:r>
        <w:rPr>
          <w:rFonts w:ascii="等线 Light" w:hAnsi="等线 Light" w:eastAsia="等线 Light" w:cs="仿宋"/>
          <w:b/>
          <w:sz w:val="24"/>
        </w:rPr>
        <w:t>。</w:t>
      </w:r>
      <w:bookmarkEnd w:id="2"/>
    </w:p>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等线 Light">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BC19D6"/>
    <w:rsid w:val="4DBC19D6"/>
    <w:rsid w:val="771D2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rFonts w:ascii="Calibri" w:hAnsi="Calibri"/>
      <w:szCs w:val="22"/>
    </w:rPr>
  </w:style>
  <w:style w:type="paragraph" w:styleId="4">
    <w:name w:val="Normal Indent"/>
    <w:basedOn w:val="1"/>
    <w:qFormat/>
    <w:uiPriority w:val="0"/>
    <w:pPr>
      <w:ind w:firstLine="420" w:firstLineChars="200"/>
    </w:pPr>
  </w:style>
  <w:style w:type="paragraph" w:styleId="5">
    <w:name w:val="Normal (Web)"/>
    <w:basedOn w:val="1"/>
    <w:qFormat/>
    <w:uiPriority w:val="0"/>
    <w:pPr>
      <w:widowControl/>
      <w:spacing w:before="100" w:beforeAutospacing="1" w:after="100" w:afterAutospacing="1"/>
      <w:jc w:val="left"/>
    </w:pPr>
    <w:rPr>
      <w:rFonts w:ascii="宋体" w:hAnsi="宋体"/>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2089</Words>
  <Characters>2275</Characters>
  <Lines>0</Lines>
  <Paragraphs>0</Paragraphs>
  <TotalTime>6</TotalTime>
  <ScaleCrop>false</ScaleCrop>
  <LinksUpToDate>false</LinksUpToDate>
  <CharactersWithSpaces>2288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2022-03-23T08:46:00Z</dcterms:created>
  <dc:creator>阵雨阔以停</dc:creator>
  <cp:lastModifiedBy>然然亦兮</cp:lastModifiedBy>
  <dcterms:modified xsi:type="dcterms:W3CDTF">2022-03-23T09:05:09Z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C7D518C05E6A490C85650AA0CEB6BBF0</vt:lpwstr>
  </property>
</Properties>
</file>