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jc w:val="center"/>
        <w:rPr>
          <w:rFonts w:hint="eastAsia" w:ascii="黑体" w:hAnsi="黑体" w:eastAsia="黑体" w:cs="仿宋"/>
          <w:b/>
          <w:sz w:val="32"/>
          <w:szCs w:val="32"/>
        </w:rPr>
      </w:pPr>
      <w:r>
        <w:rPr>
          <w:rFonts w:hint="eastAsia" w:ascii="黑体" w:hAnsi="黑体" w:eastAsia="黑体" w:cs="仿宋"/>
          <w:b/>
          <w:sz w:val="32"/>
          <w:szCs w:val="32"/>
        </w:rPr>
        <w:t>采购项目技术、服务、政府采购合同内容条款及其他商务要求</w:t>
      </w:r>
    </w:p>
    <w:p>
      <w:pPr>
        <w:pStyle w:val="3"/>
        <w:keepNext w:val="0"/>
        <w:keepLines w:val="0"/>
        <w:spacing w:before="0" w:after="0" w:line="360" w:lineRule="auto"/>
        <w:ind w:firstLine="118" w:firstLineChars="49"/>
        <w:jc w:val="left"/>
        <w:rPr>
          <w:rFonts w:hint="eastAsia"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spacing w:after="0" w:line="360" w:lineRule="auto"/>
        <w:ind w:firstLine="236" w:firstLineChars="98"/>
        <w:rPr>
          <w:rFonts w:hint="eastAsia" w:ascii="宋体" w:hAnsi="宋体" w:eastAsia="宋体" w:cs="仿宋"/>
          <w:sz w:val="24"/>
          <w:szCs w:val="24"/>
        </w:rPr>
      </w:pPr>
      <w:bookmarkStart w:id="0" w:name="_Toc217446094"/>
      <w:r>
        <w:rPr>
          <w:rFonts w:hint="eastAsia" w:ascii="宋体" w:hAnsi="宋体" w:eastAsia="宋体" w:cs="仿宋"/>
          <w:sz w:val="24"/>
          <w:szCs w:val="24"/>
          <w:lang w:eastAsia="zh-CN"/>
        </w:rPr>
        <w:t>一、</w:t>
      </w:r>
      <w:r>
        <w:rPr>
          <w:rFonts w:hint="eastAsia" w:ascii="宋体" w:hAnsi="宋体" w:eastAsia="宋体" w:cs="仿宋"/>
          <w:sz w:val="24"/>
          <w:szCs w:val="24"/>
        </w:rPr>
        <w:t xml:space="preserve"> 项目概述</w:t>
      </w:r>
      <w:bookmarkEnd w:id="0"/>
    </w:p>
    <w:p>
      <w:pPr>
        <w:pStyle w:val="3"/>
        <w:spacing w:after="0" w:line="360" w:lineRule="auto"/>
        <w:ind w:firstLine="236" w:firstLineChars="98"/>
        <w:rPr>
          <w:rFonts w:hint="eastAsia" w:ascii="宋体" w:hAnsi="宋体" w:eastAsia="宋体" w:cs="仿宋"/>
          <w:sz w:val="24"/>
          <w:szCs w:val="24"/>
        </w:rPr>
      </w:pPr>
      <w:bookmarkStart w:id="1" w:name="_Toc217446095"/>
      <w:r>
        <w:rPr>
          <w:rFonts w:hint="eastAsia" w:ascii="宋体" w:hAnsi="宋体"/>
          <w:sz w:val="24"/>
          <w:szCs w:val="24"/>
        </w:rPr>
        <w:t>采购传染病标志物化学发光法检测试剂和耗材供应商一名</w:t>
      </w:r>
      <w:r>
        <w:rPr>
          <w:rFonts w:hint="eastAsia" w:ascii="宋体" w:hAnsi="宋体"/>
          <w:sz w:val="24"/>
          <w:szCs w:val="24"/>
          <w:lang w:eastAsia="zh-CN"/>
        </w:rPr>
        <w:t>。</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eastAsia="zh-CN"/>
        </w:rPr>
        <w:t>二、</w:t>
      </w:r>
      <w:r>
        <w:rPr>
          <w:rFonts w:hint="eastAsia" w:ascii="宋体" w:hAnsi="宋体" w:eastAsia="宋体" w:cs="仿宋"/>
          <w:sz w:val="24"/>
          <w:szCs w:val="24"/>
        </w:rPr>
        <w:t xml:space="preserve"> 项目清单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4014"/>
        <w:gridCol w:w="158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37"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序号</w:t>
            </w:r>
          </w:p>
        </w:tc>
        <w:tc>
          <w:tcPr>
            <w:tcW w:w="4014"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材料</w:t>
            </w:r>
            <w:r>
              <w:rPr>
                <w:rFonts w:ascii="宋体" w:hAnsi="宋体" w:cs="仿宋"/>
                <w:kern w:val="0"/>
                <w:sz w:val="22"/>
                <w:szCs w:val="22"/>
              </w:rPr>
              <w:t>名称</w:t>
            </w:r>
          </w:p>
        </w:tc>
        <w:tc>
          <w:tcPr>
            <w:tcW w:w="15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预估年度检测人份</w:t>
            </w:r>
          </w:p>
        </w:tc>
        <w:tc>
          <w:tcPr>
            <w:tcW w:w="1265"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37" w:type="dxa"/>
            <w:noWrap w:val="0"/>
            <w:vAlign w:val="center"/>
          </w:tcPr>
          <w:p>
            <w:pPr>
              <w:widowControl/>
              <w:spacing w:line="360" w:lineRule="auto"/>
              <w:jc w:val="center"/>
              <w:rPr>
                <w:rFonts w:hint="eastAsia" w:ascii="宋体" w:hAnsi="宋体" w:cs="仿宋"/>
                <w:kern w:val="0"/>
                <w:sz w:val="22"/>
                <w:szCs w:val="22"/>
              </w:rPr>
            </w:pPr>
            <w:r>
              <w:rPr>
                <w:rFonts w:hint="eastAsia" w:ascii="宋体" w:hAnsi="宋体" w:cs="仿宋"/>
                <w:kern w:val="0"/>
                <w:sz w:val="22"/>
                <w:szCs w:val="22"/>
              </w:rPr>
              <w:t>1</w:t>
            </w:r>
          </w:p>
        </w:tc>
        <w:tc>
          <w:tcPr>
            <w:tcW w:w="4014"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血常规（五分类血细胞分析+血织红细胞）</w:t>
            </w:r>
          </w:p>
        </w:tc>
        <w:tc>
          <w:tcPr>
            <w:tcW w:w="1581"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rPr>
              <w:t>120000</w:t>
            </w:r>
          </w:p>
        </w:tc>
        <w:tc>
          <w:tcPr>
            <w:tcW w:w="1265" w:type="dxa"/>
            <w:noWrap w:val="0"/>
            <w:vAlign w:val="center"/>
          </w:tcPr>
          <w:p>
            <w:pPr>
              <w:widowControl/>
              <w:spacing w:line="360" w:lineRule="auto"/>
              <w:jc w:val="center"/>
              <w:rPr>
                <w:rFonts w:ascii="宋体" w:hAnsi="宋体" w:cs="仿宋"/>
                <w:kern w:val="0"/>
                <w:sz w:val="22"/>
                <w:szCs w:val="22"/>
              </w:rPr>
            </w:pPr>
            <w:r>
              <w:rPr>
                <w:rFonts w:hint="eastAsia" w:ascii="宋体" w:hAnsi="宋体" w:cs="仿宋"/>
                <w:kern w:val="0"/>
                <w:sz w:val="22"/>
                <w:szCs w:val="22"/>
                <w:lang w:eastAsia="zh-CN"/>
              </w:rPr>
              <w:t>每年</w:t>
            </w:r>
            <w:r>
              <w:rPr>
                <w:rFonts w:hint="eastAsia" w:ascii="宋体" w:hAnsi="宋体" w:cs="仿宋"/>
                <w:kern w:val="0"/>
                <w:sz w:val="22"/>
                <w:szCs w:val="22"/>
              </w:rPr>
              <w:t>采购数量以实际使用量为准</w:t>
            </w:r>
          </w:p>
        </w:tc>
      </w:tr>
    </w:tbl>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eastAsia="zh-CN"/>
        </w:rPr>
        <w:t>三、</w:t>
      </w:r>
      <w:r>
        <w:rPr>
          <w:rFonts w:hint="eastAsia" w:ascii="宋体" w:hAnsi="宋体" w:eastAsia="宋体" w:cs="仿宋"/>
          <w:sz w:val="24"/>
          <w:szCs w:val="24"/>
        </w:rPr>
        <w:t>项目要求</w:t>
      </w:r>
      <w:bookmarkEnd w:id="1"/>
    </w:p>
    <w:p>
      <w:pPr>
        <w:pStyle w:val="4"/>
        <w:spacing w:line="360" w:lineRule="auto"/>
        <w:ind w:left="283" w:leftChars="135" w:firstLine="0" w:firstLineChars="0"/>
        <w:rPr>
          <w:rFonts w:hint="eastAsia" w:ascii="宋体" w:hAnsi="宋体" w:cs="仿宋"/>
          <w:sz w:val="24"/>
        </w:rPr>
      </w:pPr>
      <w:r>
        <w:rPr>
          <w:rFonts w:hint="eastAsia" w:ascii="宋体" w:hAnsi="宋体" w:cs="仿宋"/>
          <w:sz w:val="24"/>
        </w:rPr>
        <w:t xml:space="preserve">（一）本包进口产品 </w:t>
      </w:r>
      <w:r>
        <w:rPr>
          <w:rFonts w:hint="eastAsia" w:ascii="宋体" w:hAnsi="宋体" w:cs="仿宋"/>
          <w:sz w:val="24"/>
          <w:u w:val="single"/>
        </w:rPr>
        <w:t xml:space="preserve">可以 </w:t>
      </w:r>
      <w:r>
        <w:rPr>
          <w:rFonts w:hint="eastAsia" w:ascii="宋体" w:hAnsi="宋体" w:cs="仿宋"/>
          <w:sz w:val="24"/>
        </w:rPr>
        <w:t>参与竞争。</w:t>
      </w:r>
    </w:p>
    <w:p>
      <w:pPr>
        <w:pStyle w:val="4"/>
        <w:spacing w:line="360" w:lineRule="auto"/>
        <w:ind w:left="283" w:leftChars="135" w:firstLine="0" w:firstLineChars="0"/>
        <w:rPr>
          <w:rFonts w:hint="eastAsia" w:ascii="宋体" w:hAnsi="宋体" w:cs="仿宋"/>
          <w:b/>
          <w:bCs/>
          <w:sz w:val="24"/>
        </w:rPr>
      </w:pPr>
      <w:r>
        <w:rPr>
          <w:rFonts w:hint="eastAsia" w:ascii="宋体" w:hAnsi="宋体" w:cs="仿宋"/>
          <w:b/>
          <w:sz w:val="24"/>
        </w:rPr>
        <w:t>（二）</w:t>
      </w:r>
      <w:r>
        <w:rPr>
          <w:rFonts w:hint="eastAsia" w:ascii="宋体" w:hAnsi="宋体" w:cs="仿宋"/>
          <w:b/>
          <w:bCs/>
          <w:sz w:val="24"/>
        </w:rPr>
        <w:t>技术、服务要求：</w:t>
      </w:r>
    </w:p>
    <w:p>
      <w:pPr>
        <w:pStyle w:val="4"/>
        <w:spacing w:line="360" w:lineRule="auto"/>
        <w:ind w:left="283" w:leftChars="135" w:firstLine="0" w:firstLineChars="0"/>
        <w:rPr>
          <w:rFonts w:hint="eastAsia" w:ascii="宋体" w:hAnsi="宋体" w:cs="仿宋"/>
          <w:sz w:val="24"/>
        </w:rPr>
      </w:pPr>
      <w:r>
        <w:rPr>
          <w:rFonts w:hint="eastAsia" w:ascii="宋体" w:hAnsi="宋体" w:cs="仿宋"/>
          <w:sz w:val="24"/>
        </w:rPr>
        <w:t>1、技术要求：</w:t>
      </w:r>
    </w:p>
    <w:p>
      <w:pPr>
        <w:pStyle w:val="4"/>
        <w:spacing w:line="360" w:lineRule="auto"/>
        <w:ind w:left="283" w:leftChars="135" w:firstLine="0" w:firstLineChars="0"/>
        <w:rPr>
          <w:rFonts w:hint="eastAsia" w:ascii="宋体" w:hAnsi="宋体" w:cs="仿宋"/>
          <w:sz w:val="24"/>
        </w:rPr>
      </w:pPr>
      <w:r>
        <w:rPr>
          <w:rFonts w:hint="eastAsia" w:ascii="宋体" w:hAnsi="宋体" w:cs="仿宋"/>
          <w:sz w:val="24"/>
          <w:lang w:val="en-US" w:eastAsia="zh-CN"/>
        </w:rPr>
        <w:t>1.1</w:t>
      </w:r>
      <w:r>
        <w:rPr>
          <w:rFonts w:hint="eastAsia" w:ascii="宋体" w:hAnsi="宋体" w:cs="仿宋"/>
          <w:sz w:val="24"/>
        </w:rPr>
        <w:t>技术参数表</w:t>
      </w:r>
    </w:p>
    <w:tbl>
      <w:tblPr>
        <w:tblStyle w:val="5"/>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59"/>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77" w:type="pct"/>
            <w:noWrap w:val="0"/>
            <w:vAlign w:val="center"/>
          </w:tcPr>
          <w:p>
            <w:pPr>
              <w:autoSpaceDE w:val="0"/>
              <w:autoSpaceDN w:val="0"/>
              <w:jc w:val="center"/>
              <w:rPr>
                <w:rFonts w:ascii="宋体" w:hAnsi="宋体" w:cs="宋体"/>
                <w:b/>
                <w:color w:val="000000"/>
              </w:rPr>
            </w:pPr>
            <w:r>
              <w:rPr>
                <w:rFonts w:hint="eastAsia" w:ascii="宋体" w:hAnsi="宋体" w:cs="宋体"/>
                <w:b/>
                <w:color w:val="000000"/>
              </w:rPr>
              <w:t>序号</w:t>
            </w:r>
          </w:p>
        </w:tc>
        <w:tc>
          <w:tcPr>
            <w:tcW w:w="755" w:type="pct"/>
            <w:noWrap w:val="0"/>
            <w:vAlign w:val="center"/>
          </w:tcPr>
          <w:p>
            <w:pPr>
              <w:autoSpaceDE w:val="0"/>
              <w:autoSpaceDN w:val="0"/>
              <w:jc w:val="center"/>
              <w:rPr>
                <w:rFonts w:ascii="宋体" w:hAnsi="宋体" w:cs="宋体"/>
                <w:b/>
                <w:color w:val="000000"/>
              </w:rPr>
            </w:pPr>
            <w:r>
              <w:rPr>
                <w:rFonts w:hint="eastAsia" w:ascii="宋体" w:hAnsi="宋体" w:cs="宋体"/>
                <w:b/>
                <w:color w:val="000000"/>
              </w:rPr>
              <w:t>材料名称</w:t>
            </w:r>
          </w:p>
        </w:tc>
        <w:tc>
          <w:tcPr>
            <w:tcW w:w="3966" w:type="pct"/>
            <w:noWrap w:val="0"/>
            <w:vAlign w:val="center"/>
          </w:tcPr>
          <w:p>
            <w:pPr>
              <w:autoSpaceDE w:val="0"/>
              <w:autoSpaceDN w:val="0"/>
              <w:jc w:val="center"/>
              <w:rPr>
                <w:rFonts w:ascii="宋体" w:hAnsi="宋体" w:cs="宋体"/>
                <w:b/>
                <w:color w:val="000000"/>
              </w:rPr>
            </w:pPr>
            <w:r>
              <w:rPr>
                <w:rFonts w:hint="eastAsia" w:ascii="宋体" w:hAnsi="宋体" w:cs="宋体"/>
                <w:b/>
                <w:color w:val="00000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8" w:type="dxa"/>
            <w:noWrap w:val="0"/>
            <w:vAlign w:val="center"/>
          </w:tcPr>
          <w:p>
            <w:pPr>
              <w:autoSpaceDE w:val="0"/>
              <w:autoSpaceDN w:val="0"/>
              <w:jc w:val="center"/>
              <w:rPr>
                <w:rFonts w:ascii="宋体" w:hAnsi="宋体" w:cs="宋体"/>
                <w:color w:val="000000"/>
              </w:rPr>
            </w:pPr>
            <w:r>
              <w:rPr>
                <w:rFonts w:hint="eastAsia" w:ascii="宋体" w:hAnsi="宋体"/>
                <w:sz w:val="18"/>
                <w:szCs w:val="18"/>
              </w:rPr>
              <w:t>1</w:t>
            </w:r>
          </w:p>
        </w:tc>
        <w:tc>
          <w:tcPr>
            <w:tcW w:w="1167"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18"/>
                <w:szCs w:val="18"/>
              </w:rPr>
              <w:t>血细胞分析用溶血剂</w:t>
            </w:r>
          </w:p>
        </w:tc>
        <w:tc>
          <w:tcPr>
            <w:tcW w:w="6134" w:type="dxa"/>
            <w:noWrap w:val="0"/>
            <w:vAlign w:val="center"/>
          </w:tcPr>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1.功能要求：</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1.1溶解红细胞，对白细胞进行一定程度处理，结合激光散射法及流式细胞技术进行嗜碱性粒细胞的检测；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1.2溶解红细胞，释放红细胞中的血红蛋白，并将血红蛋白转化为高铁血红蛋白，通过比色法实现血红蛋白相关参数的检测；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1.3溶解红细胞、对白细胞进行一定程度处理，增加白细胞类群间差异，结合激光散射法及荧光染色的流式细胞技术进行DIFF通道白细胞的检测；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1.4溶解红细胞，结合激光散射法及荧光染色的流式细胞技术进行有核红细胞检测；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1.5用于血细胞分析前破坏红细胞，溶血后的样本用于CRP和SAA项目检测；</w:t>
            </w:r>
          </w:p>
          <w:p>
            <w:pPr>
              <w:widowControl/>
              <w:spacing w:line="3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2.有效期：储存有效期≥1年，开瓶有效期≥60天；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8" w:type="dxa"/>
            <w:noWrap w:val="0"/>
            <w:vAlign w:val="center"/>
          </w:tcPr>
          <w:p>
            <w:pPr>
              <w:autoSpaceDE w:val="0"/>
              <w:autoSpaceDN w:val="0"/>
              <w:jc w:val="center"/>
              <w:rPr>
                <w:rFonts w:ascii="宋体" w:hAnsi="宋体" w:cs="宋体"/>
                <w:color w:val="000000"/>
              </w:rPr>
            </w:pPr>
            <w:r>
              <w:rPr>
                <w:rFonts w:hint="eastAsia" w:ascii="宋体" w:hAnsi="宋体"/>
                <w:sz w:val="18"/>
                <w:szCs w:val="18"/>
              </w:rPr>
              <w:t>2</w:t>
            </w:r>
          </w:p>
        </w:tc>
        <w:tc>
          <w:tcPr>
            <w:tcW w:w="1167"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kern w:val="0"/>
                <w:sz w:val="18"/>
                <w:szCs w:val="18"/>
                <w:lang w:bidi="ar"/>
              </w:rPr>
              <w:t>血细胞分析用稀释液</w:t>
            </w:r>
          </w:p>
        </w:tc>
        <w:tc>
          <w:tcPr>
            <w:tcW w:w="6134" w:type="dxa"/>
            <w:noWrap w:val="0"/>
            <w:vAlign w:val="center"/>
          </w:tcPr>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1.功能要求：血细胞分析前，对样本的稀释，制备细胞悬液，对红细胞、血小板、白细胞、有核红细胞进行检测。</w:t>
            </w:r>
          </w:p>
          <w:p>
            <w:pPr>
              <w:widowControl/>
              <w:spacing w:line="380" w:lineRule="exact"/>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2.有效期：储存有效期≥1年，开瓶有效期≥60天</w:t>
            </w:r>
            <w:r>
              <w:rPr>
                <w:rFonts w:hint="eastAsia" w:ascii="宋体" w:hAnsi="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8" w:type="dxa"/>
            <w:noWrap w:val="0"/>
            <w:vAlign w:val="center"/>
          </w:tcPr>
          <w:p>
            <w:pPr>
              <w:autoSpaceDE w:val="0"/>
              <w:autoSpaceDN w:val="0"/>
              <w:jc w:val="center"/>
              <w:rPr>
                <w:rFonts w:ascii="宋体" w:hAnsi="宋体" w:cs="宋体"/>
                <w:color w:val="000000"/>
              </w:rPr>
            </w:pPr>
            <w:r>
              <w:rPr>
                <w:rFonts w:hint="eastAsia" w:ascii="宋体" w:hAnsi="宋体"/>
                <w:sz w:val="18"/>
                <w:szCs w:val="18"/>
              </w:rPr>
              <w:t>3</w:t>
            </w:r>
          </w:p>
        </w:tc>
        <w:tc>
          <w:tcPr>
            <w:tcW w:w="1167"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kern w:val="0"/>
                <w:sz w:val="18"/>
                <w:szCs w:val="18"/>
                <w:lang w:bidi="ar"/>
              </w:rPr>
              <w:t>血细胞分析用染色液</w:t>
            </w:r>
          </w:p>
        </w:tc>
        <w:tc>
          <w:tcPr>
            <w:tcW w:w="6134" w:type="dxa"/>
            <w:noWrap w:val="0"/>
            <w:vAlign w:val="center"/>
          </w:tcPr>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1.功能要求：</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1.1对白细胞进行染色，并结合激光散射法及荧光染色的流式细胞技术进行 DIFF 通道白细胞的检测；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1.2对有核红细胞进行染色，并结合激光散射法及荧光染色的流式细胞技术进行有核红细胞检测；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1.3对网织红细胞进行快速染色，并结合激光散射法及荧光染色的流式细胞技术进行网织红细胞检测；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1.4染色液将有核红细胞和白细胞染色，并结合激光散射法及荧光染色的流式细胞技术进行有核红细胞和嗜碱性粒细胞检测；</w:t>
            </w:r>
          </w:p>
          <w:p>
            <w:pPr>
              <w:widowControl/>
              <w:spacing w:line="38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2.有效期：储存有效期≥1年，开瓶有效期≥60天；</w:t>
            </w:r>
          </w:p>
        </w:tc>
      </w:tr>
    </w:tbl>
    <w:p>
      <w:pPr>
        <w:pStyle w:val="4"/>
        <w:spacing w:line="360" w:lineRule="auto"/>
        <w:ind w:left="283" w:leftChars="135" w:firstLine="0" w:firstLineChars="0"/>
        <w:rPr>
          <w:rFonts w:hint="eastAsia" w:ascii="宋体" w:hAnsi="宋体" w:cs="仿宋"/>
          <w:b/>
          <w:bCs/>
          <w:sz w:val="24"/>
        </w:rPr>
      </w:pPr>
      <w:r>
        <w:rPr>
          <w:rFonts w:hint="eastAsia" w:ascii="宋体" w:hAnsi="宋体" w:cs="仿宋"/>
          <w:sz w:val="24"/>
          <w:lang w:val="en-US" w:eastAsia="zh-CN"/>
        </w:rPr>
        <w:t>1.2</w:t>
      </w:r>
      <w:r>
        <w:rPr>
          <w:rFonts w:hint="eastAsia" w:ascii="宋体" w:hAnsi="宋体" w:cs="仿宋"/>
          <w:sz w:val="24"/>
        </w:rPr>
        <w:t>技术服务要求：</w:t>
      </w:r>
    </w:p>
    <w:p>
      <w:pPr>
        <w:pStyle w:val="4"/>
        <w:spacing w:line="400" w:lineRule="exact"/>
        <w:ind w:firstLine="480"/>
        <w:rPr>
          <w:rFonts w:ascii="宋体"/>
          <w:color w:val="000000"/>
          <w:sz w:val="24"/>
        </w:rPr>
      </w:pPr>
      <w:r>
        <w:rPr>
          <w:rFonts w:hint="eastAsia" w:ascii="宋体"/>
          <w:color w:val="000000"/>
          <w:sz w:val="24"/>
        </w:rPr>
        <w:t>★1.</w:t>
      </w:r>
      <w:r>
        <w:rPr>
          <w:rFonts w:hint="eastAsia" w:ascii="宋体"/>
          <w:color w:val="000000"/>
          <w:sz w:val="24"/>
          <w:lang w:val="en-US" w:eastAsia="zh-CN"/>
        </w:rPr>
        <w:t>2.1</w:t>
      </w:r>
      <w:r>
        <w:rPr>
          <w:rFonts w:hint="eastAsia" w:ascii="宋体"/>
          <w:color w:val="000000"/>
          <w:sz w:val="24"/>
        </w:rPr>
        <w:t>供应商</w:t>
      </w:r>
      <w:r>
        <w:rPr>
          <w:rFonts w:hint="eastAsia" w:ascii="宋体"/>
          <w:color w:val="000000"/>
          <w:sz w:val="24"/>
          <w:lang w:eastAsia="zh-CN"/>
        </w:rPr>
        <w:t>响应</w:t>
      </w:r>
      <w:r>
        <w:rPr>
          <w:rFonts w:hint="eastAsia" w:ascii="宋体"/>
          <w:color w:val="000000"/>
          <w:sz w:val="24"/>
        </w:rPr>
        <w:t>体外诊断试剂必须具备医疗器械注册证或医疗器械备案凭证,且必须为四川省药械集中采购及医药价格监管平台挂网公示产品,并提供挂网商品代码；</w:t>
      </w:r>
    </w:p>
    <w:p>
      <w:pPr>
        <w:pStyle w:val="4"/>
        <w:spacing w:line="400" w:lineRule="exact"/>
        <w:ind w:firstLine="480"/>
        <w:rPr>
          <w:rFonts w:hint="eastAsia" w:ascii="宋体" w:eastAsia="宋体"/>
          <w:color w:val="000000"/>
          <w:sz w:val="24"/>
          <w:lang w:val="en-US" w:eastAsia="zh-CN"/>
        </w:rPr>
      </w:pPr>
      <w:r>
        <w:rPr>
          <w:rFonts w:hint="eastAsia" w:ascii="宋体"/>
          <w:color w:val="000000"/>
          <w:sz w:val="24"/>
        </w:rPr>
        <w:t>★</w:t>
      </w:r>
      <w:r>
        <w:rPr>
          <w:rFonts w:hint="eastAsia" w:ascii="宋体"/>
          <w:color w:val="000000"/>
          <w:sz w:val="24"/>
          <w:lang w:val="en-US" w:eastAsia="zh-CN"/>
        </w:rPr>
        <w:t>1.</w:t>
      </w:r>
      <w:r>
        <w:rPr>
          <w:rFonts w:hint="eastAsia" w:ascii="宋体"/>
          <w:color w:val="000000"/>
          <w:sz w:val="24"/>
        </w:rPr>
        <w:t>2.</w:t>
      </w:r>
      <w:r>
        <w:rPr>
          <w:rFonts w:hint="eastAsia" w:ascii="宋体"/>
          <w:color w:val="000000"/>
          <w:sz w:val="24"/>
          <w:lang w:val="en-US" w:eastAsia="zh-CN"/>
        </w:rPr>
        <w:t>2</w:t>
      </w:r>
      <w:r>
        <w:rPr>
          <w:rFonts w:hint="eastAsia" w:ascii="宋体"/>
          <w:color w:val="000000"/>
          <w:sz w:val="24"/>
        </w:rPr>
        <w:t>设备配置：</w:t>
      </w:r>
      <w:r>
        <w:rPr>
          <w:rFonts w:hint="eastAsia" w:ascii="宋体"/>
          <w:color w:val="000000"/>
          <w:sz w:val="24"/>
          <w:lang w:eastAsia="zh-CN"/>
        </w:rPr>
        <w:t>成交</w:t>
      </w:r>
      <w:r>
        <w:rPr>
          <w:rFonts w:hint="eastAsia" w:ascii="宋体"/>
          <w:color w:val="000000"/>
          <w:sz w:val="24"/>
        </w:rPr>
        <w:t>供应商在合同期内应配置与</w:t>
      </w:r>
      <w:r>
        <w:rPr>
          <w:rFonts w:hint="eastAsia" w:ascii="宋体"/>
          <w:color w:val="000000"/>
          <w:sz w:val="24"/>
          <w:lang w:val="en-US" w:eastAsia="zh-CN"/>
        </w:rPr>
        <w:t>响应</w:t>
      </w:r>
      <w:r>
        <w:rPr>
          <w:rFonts w:hint="eastAsia" w:ascii="宋体"/>
          <w:color w:val="000000"/>
          <w:sz w:val="24"/>
        </w:rPr>
        <w:t>产品适配的检验仪器</w:t>
      </w:r>
      <w:r>
        <w:rPr>
          <w:rFonts w:hint="eastAsia" w:ascii="宋体"/>
          <w:color w:val="000000"/>
          <w:sz w:val="24"/>
          <w:lang w:eastAsia="zh-CN"/>
        </w:rPr>
        <w:t>。</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2.1 供应商应至少配置3套检测设备，分别用于院本部门诊（晋阳）、院本部发热门诊（晋阳）以及天府院区；</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2.2 供应商在合同期内应承担相关设备的维护保养及检修费用；</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2.3 配套设备需与医院相关信息管理系统（如Lis系统）做信息接口，产生的相关费用应由供应商承担；</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3.检验仪器性能要求：</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3.1检测原理：血细胞分析采用半导体激光法、鞘流电阻抗法、荧光染色法和流式细胞技术原理；</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2</w:t>
      </w:r>
      <w:r>
        <w:rPr>
          <w:rFonts w:hint="eastAsia" w:ascii="宋体"/>
          <w:color w:val="000000"/>
          <w:sz w:val="24"/>
        </w:rPr>
        <w:t>网织红细胞测试为全自动检测，无需人为辅助，无需机外添加试剂；</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3</w:t>
      </w:r>
      <w:r>
        <w:rPr>
          <w:rFonts w:hint="eastAsia" w:ascii="宋体"/>
          <w:color w:val="000000"/>
          <w:sz w:val="24"/>
        </w:rPr>
        <w:t>血小板检测原理：支持电阻抗法和激光流式结合核酸荧光染色法；</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4</w:t>
      </w:r>
      <w:r>
        <w:rPr>
          <w:rFonts w:hint="eastAsia" w:ascii="宋体"/>
          <w:color w:val="000000"/>
          <w:sz w:val="24"/>
        </w:rPr>
        <w:t>所有分析模式均可进行预稀释检测；</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5</w:t>
      </w:r>
      <w:r>
        <w:rPr>
          <w:rFonts w:hint="eastAsia" w:ascii="宋体"/>
          <w:color w:val="000000"/>
          <w:sz w:val="24"/>
        </w:rPr>
        <w:t>具有独立的静脉全血、末梢全血、预稀释血、体液检测模式；</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.6</w:t>
      </w:r>
      <w:r>
        <w:rPr>
          <w:rFonts w:hint="eastAsia" w:ascii="宋体"/>
          <w:color w:val="000000"/>
          <w:sz w:val="24"/>
        </w:rPr>
        <w:t>具有低值血小板检测功能，通过自动增加计数颗粒数量来保证血小板检测精度；</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.7</w:t>
      </w:r>
      <w:r>
        <w:rPr>
          <w:rFonts w:hint="eastAsia" w:ascii="宋体"/>
          <w:color w:val="000000"/>
          <w:sz w:val="24"/>
        </w:rPr>
        <w:t>具有低值白细胞检测功能，自动增加计数颗粒数量来保证白细胞检测结果的准确性，无需二次折返检测；</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8</w:t>
      </w:r>
      <w:r>
        <w:rPr>
          <w:rFonts w:hint="eastAsia" w:ascii="宋体"/>
          <w:color w:val="000000"/>
          <w:sz w:val="24"/>
        </w:rPr>
        <w:t>报告参数：可提供血细胞分析报告参数≥37个，三维散点图≥3个，体液细胞分析报告参数≥7个，CRP报告参数和SAA报告参数；</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9</w:t>
      </w:r>
      <w:r>
        <w:rPr>
          <w:rFonts w:hint="eastAsia" w:ascii="宋体"/>
          <w:color w:val="000000"/>
          <w:sz w:val="24"/>
        </w:rPr>
        <w:t>.进样方式与用血量：静脉血和末梢全血均可自动批量进样；用血量：末梢全血检测CDR+CRP用血量≤40μl，末梢全血检测CDR+CRP+SAA用血量≤40μl，预稀释模式CDR+CRP+SAA用血量≤20μl；</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w:t>
      </w:r>
      <w:r>
        <w:rPr>
          <w:rFonts w:ascii="宋体"/>
          <w:color w:val="000000"/>
          <w:sz w:val="24"/>
        </w:rPr>
        <w:t>10</w:t>
      </w:r>
      <w:r>
        <w:rPr>
          <w:rFonts w:hint="eastAsia" w:ascii="宋体"/>
          <w:color w:val="000000"/>
          <w:sz w:val="24"/>
        </w:rPr>
        <w:t>能提供原厂配套的CFDA注册的质控物和校准物，并提供校准物溯源性文件；</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3.1</w:t>
      </w:r>
      <w:r>
        <w:rPr>
          <w:rFonts w:ascii="宋体"/>
          <w:color w:val="000000"/>
          <w:sz w:val="24"/>
        </w:rPr>
        <w:t>1</w:t>
      </w:r>
      <w:r>
        <w:rPr>
          <w:rFonts w:hint="eastAsia" w:ascii="宋体"/>
          <w:color w:val="000000"/>
          <w:sz w:val="24"/>
        </w:rPr>
        <w:t>.血液分析线性范围（静脉血）：白细胞：（0-500）*109/L，红细胞：（0-8.6）*1012/L，血小板：（0-5000）*109/L，血红蛋白：0-260g/L；</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3.1</w:t>
      </w:r>
      <w:r>
        <w:rPr>
          <w:rFonts w:ascii="宋体"/>
          <w:color w:val="000000"/>
          <w:sz w:val="24"/>
        </w:rPr>
        <w:t>2</w:t>
      </w:r>
      <w:r>
        <w:rPr>
          <w:rFonts w:hint="eastAsia" w:ascii="宋体"/>
          <w:color w:val="000000"/>
          <w:sz w:val="24"/>
        </w:rPr>
        <w:t>单机检测速度：CBC＋DIFF＋NRBC ≥110个样本/小时；</w:t>
      </w:r>
    </w:p>
    <w:p>
      <w:pPr>
        <w:pStyle w:val="4"/>
        <w:spacing w:line="400" w:lineRule="exact"/>
        <w:ind w:firstLine="480"/>
        <w:rPr>
          <w:rFonts w:hint="eastAsia" w:ascii="宋体"/>
          <w:color w:val="000000"/>
          <w:sz w:val="24"/>
        </w:rPr>
      </w:pPr>
      <w:r>
        <w:rPr>
          <w:rFonts w:hint="eastAsia" w:ascii="宋体"/>
          <w:color w:val="000000"/>
          <w:sz w:val="24"/>
          <w:lang w:val="en-US" w:eastAsia="zh-CN"/>
        </w:rPr>
        <w:t>1.2.</w:t>
      </w:r>
      <w:r>
        <w:rPr>
          <w:rFonts w:hint="eastAsia" w:ascii="宋体"/>
          <w:color w:val="000000"/>
          <w:sz w:val="24"/>
        </w:rPr>
        <w:t>3.13具备自动推片染色功能；</w:t>
      </w:r>
    </w:p>
    <w:p>
      <w:pPr>
        <w:pStyle w:val="4"/>
        <w:spacing w:line="400" w:lineRule="exact"/>
        <w:ind w:firstLine="480"/>
        <w:rPr>
          <w:rFonts w:ascii="宋体"/>
          <w:color w:val="000000"/>
          <w:sz w:val="24"/>
        </w:rPr>
      </w:pPr>
      <w:r>
        <w:rPr>
          <w:rFonts w:hint="eastAsia" w:ascii="宋体"/>
          <w:color w:val="000000"/>
          <w:sz w:val="24"/>
          <w:lang w:val="en-US" w:eastAsia="zh-CN"/>
        </w:rPr>
        <w:t>1.2.</w:t>
      </w:r>
      <w:r>
        <w:rPr>
          <w:rFonts w:hint="eastAsia" w:ascii="宋体"/>
          <w:color w:val="000000"/>
          <w:sz w:val="24"/>
        </w:rPr>
        <w:t>3.14具备自动镜检阅片功能；</w:t>
      </w:r>
    </w:p>
    <w:p>
      <w:pPr>
        <w:pStyle w:val="4"/>
        <w:spacing w:line="400" w:lineRule="exact"/>
        <w:ind w:firstLine="480"/>
        <w:rPr>
          <w:rFonts w:hint="eastAsia" w:ascii="宋体"/>
          <w:color w:val="000000"/>
          <w:sz w:val="24"/>
        </w:rPr>
      </w:pPr>
      <w:r>
        <w:rPr>
          <w:rFonts w:hint="eastAsia" w:ascii="宋体" w:hAnsi="宋体" w:cs="仿宋"/>
          <w:sz w:val="24"/>
        </w:rPr>
        <w:t>（三）</w:t>
      </w:r>
      <w:r>
        <w:rPr>
          <w:rFonts w:hint="eastAsia" w:ascii="宋体" w:hAnsi="宋体" w:cs="仿宋"/>
          <w:b/>
          <w:bCs/>
          <w:sz w:val="24"/>
        </w:rPr>
        <w:t>商务要求：</w:t>
      </w:r>
    </w:p>
    <w:p>
      <w:pPr>
        <w:pStyle w:val="4"/>
        <w:spacing w:line="400" w:lineRule="exact"/>
        <w:ind w:firstLine="480"/>
        <w:rPr>
          <w:rFonts w:hint="eastAsia" w:ascii="宋体"/>
          <w:color w:val="000000"/>
          <w:sz w:val="24"/>
        </w:rPr>
      </w:pPr>
      <w:r>
        <w:rPr>
          <w:rFonts w:hint="eastAsia" w:ascii="宋体"/>
          <w:color w:val="000000"/>
          <w:sz w:val="24"/>
        </w:rPr>
        <w:t>★1.付款方法和条件：</w:t>
      </w:r>
    </w:p>
    <w:p>
      <w:pPr>
        <w:pStyle w:val="4"/>
        <w:spacing w:line="400" w:lineRule="exact"/>
        <w:ind w:firstLine="480"/>
        <w:rPr>
          <w:rFonts w:hint="eastAsia" w:ascii="宋体"/>
          <w:color w:val="000000"/>
          <w:sz w:val="24"/>
        </w:rPr>
      </w:pPr>
      <w:r>
        <w:rPr>
          <w:rFonts w:hint="eastAsia" w:ascii="宋体"/>
          <w:color w:val="000000"/>
          <w:sz w:val="24"/>
        </w:rPr>
        <w:t>1.</w:t>
      </w:r>
      <w:r>
        <w:rPr>
          <w:rFonts w:hint="eastAsia" w:ascii="宋体"/>
          <w:color w:val="000000"/>
          <w:sz w:val="24"/>
          <w:lang w:val="en-US" w:eastAsia="zh-CN"/>
        </w:rPr>
        <w:t>1</w:t>
      </w:r>
      <w:r>
        <w:rPr>
          <w:rFonts w:hint="eastAsia" w:ascii="宋体"/>
          <w:color w:val="000000"/>
          <w:sz w:val="24"/>
          <w:lang w:eastAsia="zh-CN"/>
        </w:rPr>
        <w:t>采购人</w:t>
      </w:r>
      <w:r>
        <w:rPr>
          <w:rFonts w:hint="eastAsia" w:ascii="宋体"/>
          <w:color w:val="000000"/>
          <w:sz w:val="24"/>
        </w:rPr>
        <w:t>自收到</w:t>
      </w:r>
      <w:r>
        <w:rPr>
          <w:rFonts w:hint="eastAsia" w:ascii="宋体"/>
          <w:color w:val="000000"/>
          <w:sz w:val="24"/>
          <w:lang w:eastAsia="zh-CN"/>
        </w:rPr>
        <w:t>成交供应商</w:t>
      </w:r>
      <w:r>
        <w:rPr>
          <w:rFonts w:hint="eastAsia" w:ascii="宋体"/>
          <w:color w:val="000000"/>
          <w:sz w:val="24"/>
        </w:rPr>
        <w:t>配送的耗材产品，验收合格入库后，</w:t>
      </w:r>
      <w:r>
        <w:rPr>
          <w:rFonts w:hint="eastAsia" w:ascii="宋体"/>
          <w:color w:val="000000"/>
          <w:sz w:val="24"/>
          <w:lang w:eastAsia="zh-CN"/>
        </w:rPr>
        <w:t>成交供应商</w:t>
      </w:r>
      <w:r>
        <w:rPr>
          <w:rFonts w:hint="eastAsia" w:ascii="宋体"/>
          <w:color w:val="000000"/>
          <w:sz w:val="24"/>
        </w:rPr>
        <w:t>按照甲方要求每月进行对账，</w:t>
      </w:r>
      <w:r>
        <w:rPr>
          <w:rFonts w:hint="eastAsia" w:ascii="宋体"/>
          <w:color w:val="000000"/>
          <w:sz w:val="24"/>
          <w:lang w:eastAsia="zh-CN"/>
        </w:rPr>
        <w:t>采购人</w:t>
      </w:r>
      <w:r>
        <w:rPr>
          <w:rFonts w:hint="eastAsia" w:ascii="宋体"/>
          <w:color w:val="000000"/>
          <w:sz w:val="24"/>
        </w:rPr>
        <w:t>按以下方式支付货款：</w:t>
      </w:r>
    </w:p>
    <w:p>
      <w:pPr>
        <w:pStyle w:val="4"/>
        <w:spacing w:line="400" w:lineRule="exact"/>
        <w:ind w:firstLine="480"/>
        <w:rPr>
          <w:rFonts w:hint="eastAsia" w:ascii="宋体"/>
          <w:color w:val="000000"/>
          <w:sz w:val="24"/>
        </w:rPr>
      </w:pPr>
      <w:r>
        <w:rPr>
          <w:rFonts w:hint="eastAsia" w:ascii="宋体"/>
          <w:color w:val="000000"/>
          <w:sz w:val="24"/>
        </w:rPr>
        <w:t>方式一：</w:t>
      </w:r>
      <w:r>
        <w:rPr>
          <w:rFonts w:hint="eastAsia" w:ascii="宋体"/>
          <w:color w:val="000000"/>
          <w:sz w:val="24"/>
          <w:lang w:eastAsia="zh-CN"/>
        </w:rPr>
        <w:t>成交供应商</w:t>
      </w:r>
      <w:r>
        <w:rPr>
          <w:rFonts w:hint="eastAsia" w:ascii="宋体"/>
          <w:color w:val="000000"/>
          <w:sz w:val="24"/>
        </w:rPr>
        <w:t>为中小企业（依据国务院批准的中小企业划分标准确定的中型企业、小型企业和微型企业），</w:t>
      </w:r>
      <w:r>
        <w:rPr>
          <w:rFonts w:hint="eastAsia" w:ascii="宋体"/>
          <w:color w:val="000000"/>
          <w:sz w:val="24"/>
          <w:lang w:eastAsia="zh-CN"/>
        </w:rPr>
        <w:t>成交供应商</w:t>
      </w:r>
      <w:r>
        <w:rPr>
          <w:rFonts w:hint="eastAsia" w:ascii="宋体"/>
          <w:color w:val="000000"/>
          <w:sz w:val="24"/>
        </w:rPr>
        <w:t>出具合法有效完整的完税发票及凭证资料后，</w:t>
      </w:r>
      <w:r>
        <w:rPr>
          <w:rFonts w:hint="eastAsia" w:ascii="宋体"/>
          <w:color w:val="000000"/>
          <w:sz w:val="24"/>
          <w:lang w:eastAsia="zh-CN"/>
        </w:rPr>
        <w:t>采购人</w:t>
      </w:r>
      <w:r>
        <w:rPr>
          <w:rFonts w:hint="eastAsia" w:ascii="宋体"/>
          <w:color w:val="000000"/>
          <w:sz w:val="24"/>
        </w:rPr>
        <w:t>2个月内支付货款。</w:t>
      </w:r>
    </w:p>
    <w:p>
      <w:pPr>
        <w:pStyle w:val="4"/>
        <w:spacing w:line="400" w:lineRule="exact"/>
        <w:ind w:firstLine="480"/>
        <w:rPr>
          <w:rFonts w:hint="eastAsia" w:ascii="宋体"/>
          <w:color w:val="000000"/>
          <w:sz w:val="24"/>
        </w:rPr>
      </w:pPr>
      <w:r>
        <w:rPr>
          <w:rFonts w:hint="eastAsia" w:ascii="宋体"/>
          <w:color w:val="000000"/>
          <w:sz w:val="24"/>
        </w:rPr>
        <w:t>方式二：</w:t>
      </w:r>
      <w:r>
        <w:rPr>
          <w:rFonts w:hint="eastAsia" w:ascii="宋体"/>
          <w:color w:val="000000"/>
          <w:sz w:val="24"/>
          <w:lang w:eastAsia="zh-CN"/>
        </w:rPr>
        <w:t>成交供应商</w:t>
      </w:r>
      <w:r>
        <w:rPr>
          <w:rFonts w:hint="eastAsia" w:ascii="宋体"/>
          <w:color w:val="000000"/>
          <w:sz w:val="24"/>
        </w:rPr>
        <w:t>为大型企业（方式一中规定的中小企业以外的企业），</w:t>
      </w:r>
      <w:r>
        <w:rPr>
          <w:rFonts w:hint="eastAsia" w:ascii="宋体"/>
          <w:color w:val="000000"/>
          <w:sz w:val="24"/>
          <w:lang w:eastAsia="zh-CN"/>
        </w:rPr>
        <w:t>成交供应商</w:t>
      </w:r>
      <w:r>
        <w:rPr>
          <w:rFonts w:hint="eastAsia" w:ascii="宋体"/>
          <w:color w:val="000000"/>
          <w:sz w:val="24"/>
        </w:rPr>
        <w:t>出具合法有效完整的完税发票及凭证资料后，</w:t>
      </w:r>
      <w:r>
        <w:rPr>
          <w:rFonts w:hint="eastAsia" w:ascii="宋体"/>
          <w:color w:val="000000"/>
          <w:sz w:val="24"/>
          <w:lang w:eastAsia="zh-CN"/>
        </w:rPr>
        <w:t>采购人</w:t>
      </w:r>
      <w:r>
        <w:rPr>
          <w:rFonts w:hint="eastAsia" w:ascii="宋体"/>
          <w:color w:val="000000"/>
          <w:sz w:val="24"/>
        </w:rPr>
        <w:t>6个月后支付货款。</w:t>
      </w:r>
    </w:p>
    <w:p>
      <w:pPr>
        <w:pStyle w:val="4"/>
        <w:spacing w:line="400" w:lineRule="exact"/>
        <w:ind w:firstLine="480"/>
        <w:rPr>
          <w:rFonts w:ascii="宋体"/>
          <w:color w:val="000000"/>
          <w:sz w:val="24"/>
        </w:rPr>
      </w:pPr>
      <w:r>
        <w:rPr>
          <w:rFonts w:hint="eastAsia" w:ascii="宋体"/>
          <w:color w:val="000000"/>
          <w:sz w:val="24"/>
          <w:lang w:val="en-US" w:eastAsia="zh-CN"/>
        </w:rPr>
        <w:t>1.</w:t>
      </w:r>
      <w:r>
        <w:rPr>
          <w:rFonts w:hint="eastAsia" w:ascii="宋体"/>
          <w:color w:val="000000"/>
          <w:sz w:val="24"/>
        </w:rPr>
        <w:t>2因</w:t>
      </w:r>
      <w:r>
        <w:rPr>
          <w:rFonts w:hint="eastAsia" w:ascii="宋体"/>
          <w:color w:val="000000"/>
          <w:sz w:val="24"/>
          <w:lang w:eastAsia="zh-CN"/>
        </w:rPr>
        <w:t>成交供应商</w:t>
      </w:r>
      <w:r>
        <w:rPr>
          <w:rFonts w:hint="eastAsia" w:ascii="宋体"/>
          <w:color w:val="000000"/>
          <w:sz w:val="24"/>
        </w:rPr>
        <w:t>供货质量不合格或不符合</w:t>
      </w:r>
      <w:r>
        <w:rPr>
          <w:rFonts w:hint="eastAsia" w:ascii="宋体"/>
          <w:color w:val="000000"/>
          <w:sz w:val="24"/>
          <w:lang w:eastAsia="zh-CN"/>
        </w:rPr>
        <w:t>采购人</w:t>
      </w:r>
      <w:r>
        <w:rPr>
          <w:rFonts w:hint="eastAsia" w:ascii="宋体"/>
          <w:color w:val="000000"/>
          <w:sz w:val="24"/>
        </w:rPr>
        <w:t>要求的，</w:t>
      </w:r>
      <w:r>
        <w:rPr>
          <w:rFonts w:hint="eastAsia" w:ascii="宋体"/>
          <w:color w:val="000000"/>
          <w:sz w:val="24"/>
          <w:lang w:eastAsia="zh-CN"/>
        </w:rPr>
        <w:t>采购人</w:t>
      </w:r>
      <w:r>
        <w:rPr>
          <w:rFonts w:hint="eastAsia" w:ascii="宋体"/>
          <w:color w:val="000000"/>
          <w:sz w:val="24"/>
        </w:rPr>
        <w:t>有权拒绝付款。</w:t>
      </w:r>
    </w:p>
    <w:p>
      <w:pPr>
        <w:pStyle w:val="4"/>
        <w:spacing w:line="400" w:lineRule="exact"/>
        <w:ind w:firstLine="480"/>
        <w:rPr>
          <w:rFonts w:ascii="宋体"/>
          <w:color w:val="000000"/>
          <w:sz w:val="24"/>
        </w:rPr>
      </w:pPr>
      <w:r>
        <w:rPr>
          <w:rFonts w:hint="eastAsia" w:ascii="宋体"/>
          <w:color w:val="000000"/>
          <w:sz w:val="24"/>
        </w:rPr>
        <w:t>★2</w:t>
      </w:r>
      <w:r>
        <w:rPr>
          <w:rFonts w:ascii="宋体"/>
          <w:color w:val="000000"/>
          <w:sz w:val="24"/>
        </w:rPr>
        <w:t>.</w:t>
      </w:r>
      <w:r>
        <w:rPr>
          <w:rFonts w:hint="eastAsia" w:ascii="宋体"/>
          <w:color w:val="000000"/>
          <w:sz w:val="24"/>
        </w:rPr>
        <w:t>供货期限：3年，</w:t>
      </w:r>
      <w:r>
        <w:rPr>
          <w:rFonts w:hint="eastAsia" w:ascii="宋体"/>
          <w:color w:val="000000"/>
          <w:sz w:val="24"/>
          <w:lang w:eastAsia="zh-CN"/>
        </w:rPr>
        <w:t>每年</w:t>
      </w:r>
      <w:r>
        <w:rPr>
          <w:rFonts w:hint="eastAsia" w:ascii="宋体"/>
          <w:color w:val="000000"/>
          <w:sz w:val="24"/>
        </w:rPr>
        <w:t>采购数量以实际使用量为准</w:t>
      </w:r>
      <w:r>
        <w:rPr>
          <w:rFonts w:hint="eastAsia" w:ascii="宋体" w:hAnsi="宋体" w:eastAsia="宋体" w:cs="宋体"/>
          <w:sz w:val="24"/>
          <w:lang w:val="en-US" w:eastAsia="zh-CN"/>
        </w:rPr>
        <w:t>。</w:t>
      </w:r>
      <w:r>
        <w:rPr>
          <w:rFonts w:hint="eastAsia" w:ascii="宋体" w:hAnsi="宋体" w:eastAsia="宋体" w:cs="宋体"/>
          <w:sz w:val="24"/>
          <w:lang w:eastAsia="zh-CN"/>
        </w:rPr>
        <w:t>供应商</w:t>
      </w:r>
      <w:r>
        <w:rPr>
          <w:rFonts w:hint="eastAsia" w:ascii="宋体" w:hAnsi="宋体" w:eastAsia="宋体" w:cs="宋体"/>
          <w:sz w:val="24"/>
        </w:rPr>
        <w:t>必须按</w:t>
      </w:r>
      <w:r>
        <w:rPr>
          <w:rFonts w:hint="eastAsia" w:ascii="宋体" w:hAnsi="宋体" w:eastAsia="宋体" w:cs="宋体"/>
          <w:sz w:val="24"/>
          <w:lang w:eastAsia="zh-CN"/>
        </w:rPr>
        <w:t>采购人</w:t>
      </w:r>
      <w:r>
        <w:rPr>
          <w:rFonts w:hint="eastAsia" w:ascii="宋体" w:hAnsi="宋体" w:eastAsia="宋体" w:cs="宋体"/>
          <w:sz w:val="24"/>
        </w:rPr>
        <w:t>要求提前备货，并在接到</w:t>
      </w:r>
      <w:r>
        <w:rPr>
          <w:rFonts w:hint="eastAsia" w:ascii="宋体" w:hAnsi="宋体" w:eastAsia="宋体" w:cs="宋体"/>
          <w:sz w:val="24"/>
          <w:lang w:eastAsia="zh-CN"/>
        </w:rPr>
        <w:t>采购人</w:t>
      </w:r>
      <w:r>
        <w:rPr>
          <w:rFonts w:hint="eastAsia" w:ascii="宋体" w:hAnsi="宋体" w:eastAsia="宋体" w:cs="宋体"/>
          <w:sz w:val="24"/>
        </w:rPr>
        <w:t>通知后24小时内将本合同约定的产品送到</w:t>
      </w:r>
      <w:r>
        <w:rPr>
          <w:rFonts w:hint="eastAsia" w:ascii="宋体" w:hAnsi="宋体" w:eastAsia="宋体" w:cs="宋体"/>
          <w:sz w:val="24"/>
          <w:lang w:eastAsia="zh-CN"/>
        </w:rPr>
        <w:t>采购人</w:t>
      </w:r>
      <w:r>
        <w:rPr>
          <w:rFonts w:hint="eastAsia" w:ascii="宋体" w:hAnsi="宋体" w:eastAsia="宋体" w:cs="宋体"/>
          <w:sz w:val="24"/>
        </w:rPr>
        <w:t>指定地点；如果</w:t>
      </w:r>
      <w:r>
        <w:rPr>
          <w:rFonts w:hint="eastAsia" w:ascii="宋体" w:hAnsi="宋体" w:eastAsia="宋体" w:cs="宋体"/>
          <w:sz w:val="24"/>
          <w:lang w:eastAsia="zh-CN"/>
        </w:rPr>
        <w:t>采购人</w:t>
      </w:r>
      <w:r>
        <w:rPr>
          <w:rFonts w:hint="eastAsia" w:ascii="宋体" w:hAnsi="宋体" w:eastAsia="宋体" w:cs="宋体"/>
          <w:sz w:val="24"/>
        </w:rPr>
        <w:t>急需该产品时，应在2小时内送达。如果</w:t>
      </w:r>
      <w:r>
        <w:rPr>
          <w:rFonts w:hint="eastAsia" w:ascii="宋体" w:hAnsi="宋体" w:eastAsia="宋体" w:cs="宋体"/>
          <w:sz w:val="24"/>
          <w:lang w:eastAsia="zh-CN"/>
        </w:rPr>
        <w:t>供应商</w:t>
      </w:r>
      <w:r>
        <w:rPr>
          <w:rFonts w:hint="eastAsia" w:ascii="宋体" w:hAnsi="宋体" w:eastAsia="宋体" w:cs="宋体"/>
          <w:sz w:val="24"/>
        </w:rPr>
        <w:t>配送的产品不符合采购合同中的要求或国家（行业）有关规定时，</w:t>
      </w:r>
      <w:r>
        <w:rPr>
          <w:rFonts w:hint="eastAsia" w:ascii="宋体" w:hAnsi="宋体" w:eastAsia="宋体" w:cs="宋体"/>
          <w:sz w:val="24"/>
          <w:lang w:eastAsia="zh-CN"/>
        </w:rPr>
        <w:t>采购人</w:t>
      </w:r>
      <w:r>
        <w:rPr>
          <w:rFonts w:hint="eastAsia" w:ascii="宋体" w:hAnsi="宋体" w:eastAsia="宋体" w:cs="宋体"/>
          <w:sz w:val="24"/>
        </w:rPr>
        <w:t>有权拒收并要求</w:t>
      </w:r>
      <w:r>
        <w:rPr>
          <w:rFonts w:hint="eastAsia" w:ascii="宋体" w:hAnsi="宋体" w:eastAsia="宋体" w:cs="宋体"/>
          <w:sz w:val="24"/>
          <w:lang w:eastAsia="zh-CN"/>
        </w:rPr>
        <w:t>供应商</w:t>
      </w:r>
      <w:r>
        <w:rPr>
          <w:rFonts w:hint="eastAsia" w:ascii="宋体" w:hAnsi="宋体" w:eastAsia="宋体" w:cs="宋体"/>
          <w:sz w:val="24"/>
        </w:rPr>
        <w:t>在规定时间内及时将符合要求的产品送到。</w:t>
      </w:r>
    </w:p>
    <w:p>
      <w:pPr>
        <w:pStyle w:val="4"/>
        <w:spacing w:line="400" w:lineRule="exact"/>
        <w:ind w:firstLine="480"/>
        <w:rPr>
          <w:rFonts w:hint="eastAsia" w:ascii="宋体"/>
          <w:color w:val="000000"/>
          <w:sz w:val="24"/>
        </w:rPr>
      </w:pPr>
      <w:r>
        <w:rPr>
          <w:rFonts w:hint="eastAsia" w:ascii="宋体"/>
          <w:color w:val="000000"/>
          <w:sz w:val="24"/>
        </w:rPr>
        <w:t>★3</w:t>
      </w:r>
      <w:r>
        <w:rPr>
          <w:rFonts w:ascii="宋体"/>
          <w:color w:val="000000"/>
          <w:sz w:val="24"/>
        </w:rPr>
        <w:t>.</w:t>
      </w:r>
      <w:r>
        <w:rPr>
          <w:rFonts w:hint="eastAsia" w:ascii="宋体"/>
          <w:color w:val="000000"/>
          <w:sz w:val="24"/>
        </w:rPr>
        <w:t>报价要求：</w:t>
      </w:r>
    </w:p>
    <w:p>
      <w:pPr>
        <w:pStyle w:val="4"/>
        <w:spacing w:line="400" w:lineRule="exact"/>
        <w:ind w:firstLine="480"/>
        <w:rPr>
          <w:rFonts w:hint="eastAsia" w:ascii="宋体"/>
          <w:color w:val="000000"/>
          <w:sz w:val="24"/>
        </w:rPr>
      </w:pPr>
      <w:r>
        <w:rPr>
          <w:rFonts w:hint="eastAsia" w:ascii="宋体"/>
          <w:color w:val="000000"/>
          <w:sz w:val="24"/>
        </w:rPr>
        <w:t>3.1供应商应明确各项检测需配备的耗材（包括但不限于样本质控品、校准品、清洗液等）并分项报价；</w:t>
      </w:r>
    </w:p>
    <w:p>
      <w:pPr>
        <w:pStyle w:val="4"/>
        <w:spacing w:line="400" w:lineRule="exact"/>
        <w:ind w:firstLine="480"/>
        <w:rPr>
          <w:rFonts w:hint="eastAsia" w:ascii="宋体"/>
          <w:color w:val="000000"/>
          <w:sz w:val="24"/>
        </w:rPr>
      </w:pPr>
      <w:r>
        <w:rPr>
          <w:rFonts w:hint="eastAsia" w:ascii="宋体"/>
          <w:color w:val="000000"/>
          <w:sz w:val="24"/>
        </w:rPr>
        <w:t>3.2单品材料若有多种品规，需分项报价；</w:t>
      </w:r>
    </w:p>
    <w:p>
      <w:pPr>
        <w:pStyle w:val="4"/>
        <w:spacing w:line="400" w:lineRule="exact"/>
        <w:ind w:firstLine="480"/>
        <w:rPr>
          <w:rFonts w:hint="eastAsia" w:ascii="宋体"/>
          <w:color w:val="000000"/>
          <w:sz w:val="24"/>
        </w:rPr>
      </w:pPr>
      <w:r>
        <w:rPr>
          <w:rFonts w:hint="eastAsia" w:ascii="宋体"/>
          <w:color w:val="000000"/>
          <w:sz w:val="24"/>
        </w:rPr>
        <w:t>3.3供应商应根据各项检测的预估年度检测人次，合理测算单人份检测成本（含试剂耗材），并计算报价总价；</w:t>
      </w:r>
    </w:p>
    <w:p>
      <w:pPr>
        <w:pStyle w:val="4"/>
        <w:spacing w:line="400" w:lineRule="exact"/>
        <w:ind w:firstLine="480"/>
        <w:rPr>
          <w:rFonts w:hint="eastAsia" w:ascii="宋体"/>
          <w:color w:val="000000"/>
          <w:sz w:val="24"/>
        </w:rPr>
      </w:pPr>
      <w:r>
        <w:rPr>
          <w:rFonts w:hint="eastAsia" w:ascii="宋体"/>
          <w:color w:val="000000"/>
          <w:sz w:val="24"/>
        </w:rPr>
        <w:t>3.4检测项目及预估年度检测人次详见“报价一览表”；</w:t>
      </w:r>
    </w:p>
    <w:p>
      <w:pPr>
        <w:pStyle w:val="4"/>
        <w:spacing w:line="400" w:lineRule="exact"/>
        <w:ind w:firstLine="480"/>
        <w:rPr>
          <w:rFonts w:hint="eastAsia" w:ascii="宋体"/>
          <w:color w:val="000000"/>
          <w:sz w:val="24"/>
        </w:rPr>
      </w:pPr>
      <w:r>
        <w:rPr>
          <w:rFonts w:hint="eastAsia" w:ascii="宋体"/>
          <w:color w:val="000000"/>
          <w:sz w:val="24"/>
        </w:rPr>
        <w:t>3.5“单人份检测成本”为评审依据，“报价一览表”分项报价为结算依据。</w:t>
      </w:r>
    </w:p>
    <w:p>
      <w:pPr>
        <w:pStyle w:val="4"/>
        <w:spacing w:line="400" w:lineRule="exact"/>
        <w:ind w:firstLine="480" w:firstLineChars="0"/>
        <w:rPr>
          <w:rFonts w:hint="eastAsia" w:ascii="宋体"/>
          <w:color w:val="000000"/>
          <w:sz w:val="24"/>
        </w:rPr>
      </w:pPr>
    </w:p>
    <w:p>
      <w:pPr>
        <w:pStyle w:val="2"/>
        <w:spacing w:after="0" w:line="360" w:lineRule="auto"/>
        <w:ind w:firstLine="473"/>
        <w:rPr>
          <w:rFonts w:hint="eastAsia" w:ascii="等线 Light" w:hAnsi="等线 Light" w:eastAsia="等线 Light" w:cs="仿宋"/>
          <w:b/>
          <w:sz w:val="24"/>
        </w:rPr>
      </w:pPr>
    </w:p>
    <w:p>
      <w:r>
        <w:rPr>
          <w:rFonts w:hint="eastAsia" w:ascii="等线 Light" w:hAnsi="等线 Light" w:eastAsia="等线 Light" w:cs="仿宋"/>
          <w:b/>
          <w:sz w:val="24"/>
        </w:rPr>
        <w:t>注：本项目若涉及国家法律法规规定的其他强制性条件，包括工程、医疗器械、特种设备、涉密、计量器具、安全技术防范系统及产品、计算机信息系统安全专业产品类等相关</w:t>
      </w:r>
      <w:r>
        <w:rPr>
          <w:rFonts w:ascii="等线 Light" w:hAnsi="等线 Light" w:eastAsia="等线 Light" w:cs="仿宋"/>
          <w:b/>
          <w:sz w:val="24"/>
        </w:rPr>
        <w:t>领域和强制性产品认证（3C），投标产品需</w:t>
      </w:r>
      <w:r>
        <w:rPr>
          <w:rFonts w:hint="eastAsia" w:ascii="等线 Light" w:hAnsi="等线 Light" w:eastAsia="等线 Light" w:cs="仿宋"/>
          <w:b/>
          <w:sz w:val="24"/>
        </w:rPr>
        <w:t>提供投标文件格式附件</w:t>
      </w:r>
      <w:r>
        <w:rPr>
          <w:rFonts w:hint="eastAsia" w:ascii="等线 Light" w:hAnsi="等线 Light" w:eastAsia="等线 Light" w:cs="仿宋"/>
          <w:b/>
          <w:sz w:val="24"/>
          <w:lang w:val="en-US" w:eastAsia="zh-CN"/>
        </w:rPr>
        <w:t>三</w:t>
      </w:r>
      <w:r>
        <w:rPr>
          <w:rFonts w:hint="eastAsia" w:ascii="等线 Light" w:hAnsi="等线 Light" w:eastAsia="等线 Light" w:cs="仿宋"/>
          <w:b/>
          <w:sz w:val="24"/>
        </w:rPr>
        <w:t>：强制性产品的认证（3C）证书承诺函</w:t>
      </w:r>
      <w:bookmarkStart w:id="2" w:name="_Hlk48919622"/>
      <w:r>
        <w:rPr>
          <w:rFonts w:hint="eastAsia" w:ascii="等线 Light" w:hAnsi="等线 Light" w:eastAsia="等线 Light" w:cs="仿宋"/>
          <w:b/>
          <w:sz w:val="24"/>
        </w:rPr>
        <w:t>或按</w:t>
      </w:r>
      <w:r>
        <w:rPr>
          <w:rFonts w:hint="eastAsia" w:ascii="等线 Light" w:hAnsi="等线 Light" w:eastAsia="等线 Light" w:cs="仿宋"/>
          <w:b/>
          <w:sz w:val="24"/>
          <w:lang w:eastAsia="zh-CN"/>
        </w:rPr>
        <w:t>采购</w:t>
      </w:r>
      <w:r>
        <w:rPr>
          <w:rFonts w:hint="eastAsia" w:ascii="等线 Light" w:hAnsi="等线 Light" w:eastAsia="等线 Light" w:cs="仿宋"/>
          <w:b/>
          <w:sz w:val="24"/>
        </w:rPr>
        <w:t>文件要求提供相关资料</w:t>
      </w:r>
      <w:r>
        <w:rPr>
          <w:rFonts w:ascii="等线 Light" w:hAnsi="等线 Light" w:eastAsia="等线 Light" w:cs="仿宋"/>
          <w:b/>
          <w:sz w:val="24"/>
        </w:rPr>
        <w:t>。</w:t>
      </w:r>
      <w:bookmarkEnd w:id="2"/>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77F01"/>
    <w:rsid w:val="5DB7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szCs w:val="22"/>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2302</Words>
  <Characters>2581</Characters>
  <Lines>0</Lines>
  <Paragraphs>0</Paragraphs>
  <TotalTime>0</TotalTime>
  <ScaleCrop>false</ScaleCrop>
  <LinksUpToDate>false</LinksUpToDate>
  <CharactersWithSpaces>2591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2022-03-24T01:47:00Z</dcterms:created>
  <dc:creator>阵雨阔以停</dc:creator>
  <cp:lastModifiedBy>阵雨阔以停</cp:lastModifiedBy>
  <dcterms:modified xsi:type="dcterms:W3CDTF">2022-03-24T01:47:33Z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78B49DBE4DC442D5A56978090841E254</vt:lpwstr>
  </property>
</Properties>
</file>