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left="-323" w:leftChars="-135" w:hanging="1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cs="Segoe UI" w:asciiTheme="minorEastAsia" w:hAnsiTheme="minorEastAsia"/>
          <w:b/>
          <w:color w:val="333333"/>
          <w:kern w:val="0"/>
          <w:lang w:val="en-US" w:eastAsia="zh-CN"/>
        </w:rPr>
        <w:t>成都海曦实验室仪器有限责任公司</w:t>
      </w:r>
      <w:bookmarkStart w:id="0" w:name="_GoBack"/>
      <w:bookmarkEnd w:id="0"/>
    </w:p>
    <w:tbl>
      <w:tblPr>
        <w:tblStyle w:val="4"/>
        <w:tblW w:w="133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968"/>
        <w:gridCol w:w="2597"/>
        <w:gridCol w:w="1459"/>
        <w:gridCol w:w="1811"/>
        <w:gridCol w:w="961"/>
        <w:gridCol w:w="1322"/>
        <w:gridCol w:w="153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产品名称</w:t>
            </w:r>
          </w:p>
        </w:tc>
        <w:tc>
          <w:tcPr>
            <w:tcW w:w="25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制造商名称</w:t>
            </w:r>
          </w:p>
        </w:tc>
        <w:tc>
          <w:tcPr>
            <w:tcW w:w="14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9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成交单价（元）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</w:rPr>
              <w:t>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 w:val="18"/>
                <w:szCs w:val="18"/>
              </w:rPr>
            </w:pPr>
            <w:r>
              <w:rPr>
                <w:rFonts w:cs="Segoe UI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外周血淋巴细胞培养基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cs="Calibri" w:asciiTheme="majorEastAsia" w:hAnsiTheme="majorEastAsia" w:eastAsiaTheme="majorEastAsia"/>
                <w:color w:val="333333"/>
                <w:kern w:val="0"/>
                <w:szCs w:val="21"/>
              </w:rPr>
              <w:t> </w:t>
            </w: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上海达特希尔生物科技有限公司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VivaCell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5ml/瓶</w:t>
            </w:r>
            <w:r>
              <w:rPr>
                <w:rFonts w:cs="Calibri" w:asciiTheme="majorEastAsia" w:hAnsiTheme="majorEastAsia" w:eastAsiaTheme="major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cs="Segoe UI" w:asciiTheme="majorEastAsia" w:hAnsiTheme="majorEastAsia" w:eastAsiaTheme="majorEastAsia"/>
                <w:color w:val="333333"/>
                <w:kern w:val="0"/>
                <w:szCs w:val="21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瓶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87535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羊水细胞培养基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广州和能生物科技有限公司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和能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100ml/瓶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瓶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333333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cs="宋体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G424197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3920" w:leftChars="14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2022-03-25T03:11:28Z</dcterms:created>
  <dc:creator>Administrator</dc:creator>
  <cp:lastModifiedBy>Administrator</cp:lastModifiedBy>
  <dcterms:modified xsi:type="dcterms:W3CDTF">2022-03-25T03:11:49Z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