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1.产品名称：</w:t>
      </w:r>
      <w:r>
        <w:rPr>
          <w:rFonts w:hint="eastAsia" w:ascii="仿宋_GB2312" w:hAnsi="仿宋_GB2312" w:eastAsia="仿宋_GB2312" w:cs="仿宋_GB2312"/>
          <w:sz w:val="28"/>
          <w:szCs w:val="28"/>
          <w:lang w:val="en-US" w:eastAsia="zh-CN"/>
        </w:rPr>
        <w:t>地中海贫血基因检测试剂盒 (PCR+导流杂交法）</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2.技术参数要求：</w:t>
      </w:r>
    </w:p>
    <w:tbl>
      <w:tblPr>
        <w:tblStyle w:val="6"/>
        <w:tblW w:w="6134" w:type="pct"/>
        <w:tblInd w:w="-9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1296"/>
        <w:gridCol w:w="1186"/>
        <w:gridCol w:w="71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404" w:type="pct"/>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序号</w:t>
            </w:r>
          </w:p>
        </w:tc>
        <w:tc>
          <w:tcPr>
            <w:tcW w:w="619" w:type="pct"/>
            <w:vAlign w:val="center"/>
          </w:tcPr>
          <w:p>
            <w:pPr>
              <w:wordWrap w:val="0"/>
              <w:jc w:val="center"/>
              <w:rPr>
                <w:rFonts w:hint="eastAsia" w:ascii="黑体" w:hAnsi="黑体" w:eastAsia="黑体" w:cs="黑体"/>
                <w:color w:val="auto"/>
                <w:sz w:val="24"/>
                <w:szCs w:val="24"/>
              </w:rPr>
            </w:pPr>
            <w:r>
              <w:rPr>
                <w:rFonts w:hint="eastAsia" w:ascii="黑体" w:hAnsi="黑体" w:eastAsia="黑体" w:cs="黑体"/>
                <w:color w:val="auto"/>
                <w:sz w:val="24"/>
                <w:szCs w:val="24"/>
              </w:rPr>
              <w:t>产品名称</w:t>
            </w:r>
          </w:p>
        </w:tc>
        <w:tc>
          <w:tcPr>
            <w:tcW w:w="567" w:type="pct"/>
            <w:vAlign w:val="center"/>
          </w:tcPr>
          <w:p>
            <w:pPr>
              <w:wordWrap w:val="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年度预计用量</w:t>
            </w:r>
          </w:p>
        </w:tc>
        <w:tc>
          <w:tcPr>
            <w:tcW w:w="3408" w:type="pct"/>
            <w:vAlign w:val="center"/>
          </w:tcPr>
          <w:p>
            <w:pPr>
              <w:wordWrap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技术</w:t>
            </w:r>
            <w:r>
              <w:rPr>
                <w:rFonts w:hint="eastAsia" w:ascii="黑体" w:hAnsi="黑体" w:eastAsia="黑体" w:cs="黑体"/>
                <w:color w:val="auto"/>
                <w:sz w:val="24"/>
                <w:szCs w:val="24"/>
                <w:lang w:val="en-US" w:eastAsia="zh-CN"/>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4" w:hRule="atLeast"/>
        </w:trPr>
        <w:tc>
          <w:tcPr>
            <w:tcW w:w="404" w:type="pct"/>
            <w:vAlign w:val="center"/>
          </w:tcPr>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619" w:type="pct"/>
            <w:vAlign w:val="center"/>
          </w:tcPr>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地中海贫血基因检测试剂盒 (P</w:t>
            </w:r>
            <w:r>
              <w:rPr>
                <w:rFonts w:hint="default" w:ascii="仿宋_GB2312" w:hAnsi="仿宋_GB2312" w:eastAsia="仿宋_GB2312" w:cs="仿宋_GB2312"/>
                <w:sz w:val="24"/>
                <w:szCs w:val="24"/>
                <w:lang w:val="en-US" w:eastAsia="zh-CN"/>
              </w:rPr>
              <w:t>C</w:t>
            </w:r>
            <w:r>
              <w:rPr>
                <w:rFonts w:hint="eastAsia" w:ascii="仿宋_GB2312" w:hAnsi="仿宋_GB2312" w:eastAsia="仿宋_GB2312" w:cs="仿宋_GB2312"/>
                <w:sz w:val="24"/>
                <w:szCs w:val="24"/>
                <w:lang w:val="en-US" w:eastAsia="zh-CN"/>
              </w:rPr>
              <w:t>R+导流杂交法）</w:t>
            </w:r>
          </w:p>
        </w:tc>
        <w:tc>
          <w:tcPr>
            <w:tcW w:w="567" w:type="pct"/>
            <w:vAlign w:val="center"/>
          </w:tcPr>
          <w:p>
            <w:pPr>
              <w:keepNext w:val="0"/>
              <w:keepLines w:val="0"/>
              <w:pageBreakBefore w:val="0"/>
              <w:widowControl/>
              <w:shd w:val="clear" w:color="auto" w:fill="FFFFFF"/>
              <w:kinsoku/>
              <w:wordWrap w:val="0"/>
              <w:overflowPunct/>
              <w:topLinePunct w:val="0"/>
              <w:autoSpaceDE/>
              <w:autoSpaceDN/>
              <w:bidi w:val="0"/>
              <w:adjustRightInd/>
              <w:snapToGrid/>
              <w:ind w:left="0" w:leftChars="0"/>
              <w:jc w:val="center"/>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600</w:t>
            </w:r>
            <w:r>
              <w:rPr>
                <w:rFonts w:hint="eastAsia" w:ascii="仿宋_GB2312" w:hAnsi="仿宋_GB2312" w:eastAsia="仿宋_GB2312" w:cs="仿宋_GB2312"/>
                <w:sz w:val="24"/>
                <w:szCs w:val="24"/>
                <w:lang w:val="en-US" w:eastAsia="zh-CN"/>
              </w:rPr>
              <w:t>人份</w:t>
            </w:r>
          </w:p>
        </w:tc>
        <w:tc>
          <w:tcPr>
            <w:tcW w:w="3408" w:type="pct"/>
            <w:vAlign w:val="center"/>
          </w:tcPr>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产品用途：本试剂盒用于体外定性检测人抗凝静脉血样本中3种缺失型α-地贫(--SEA、-α3.7 和 -α4.2)、3种突变型α-地贫(CS、QS、WS)及17个位点的19种突变型β-地贫。</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技术原理：采用生物素标记的引物同时对α-珠蛋白基因缺失、基因突变区域和β-珠蛋白基因突变区域进行特异性扩增，将扩增产物与标记不同缺失或突变类型地中海贫血探针的尼龙膜在导流杂交仪上进行导流杂交（flow-through hybridization），然后通过化学显色对结果进行判读。</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3</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产品性能：最低检出量为2ng/ulDNA，灵敏度达100%</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4</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特异性：特异性达100%。</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5</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适用性：适用普通PCR仪和导流杂交仪。</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6</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 xml:space="preserve">配套服务：拥有试剂项目配套报告软件系统，配套一次性耗材，不需额外采购。 </w:t>
            </w:r>
          </w:p>
        </w:tc>
      </w:tr>
    </w:tbl>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Hans"/>
        </w:rPr>
      </w:pPr>
      <w:r>
        <w:rPr>
          <w:rFonts w:hint="default" w:ascii="仿宋_GB2312" w:hAnsi="仿宋_GB2312" w:eastAsia="仿宋_GB2312" w:cs="仿宋_GB2312"/>
          <w:b w:val="0"/>
          <w:bCs w:val="0"/>
          <w:color w:val="auto"/>
          <w:kern w:val="0"/>
          <w:sz w:val="28"/>
          <w:szCs w:val="28"/>
          <w:lang w:eastAsia="zh-Hans"/>
        </w:rPr>
        <w:t>3</w:t>
      </w:r>
      <w:r>
        <w:rPr>
          <w:rFonts w:hint="eastAsia" w:ascii="仿宋_GB2312" w:hAnsi="仿宋_GB2312" w:eastAsia="仿宋_GB2312" w:cs="仿宋_GB2312"/>
          <w:b w:val="0"/>
          <w:bCs w:val="0"/>
          <w:color w:val="auto"/>
          <w:kern w:val="0"/>
          <w:sz w:val="28"/>
          <w:szCs w:val="28"/>
          <w:lang w:val="en-US" w:eastAsia="zh-Hans"/>
        </w:rPr>
        <w:t>.商务要求</w:t>
      </w:r>
      <w:r>
        <w:rPr>
          <w:rFonts w:hint="default" w:ascii="仿宋_GB2312" w:hAnsi="仿宋_GB2312" w:eastAsia="仿宋_GB2312" w:cs="仿宋_GB2312"/>
          <w:b w:val="0"/>
          <w:bCs w:val="0"/>
          <w:color w:val="auto"/>
          <w:kern w:val="0"/>
          <w:sz w:val="28"/>
          <w:szCs w:val="28"/>
          <w:lang w:eastAsia="zh-Hans"/>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黑体" w:hAnsi="黑体" w:eastAsia="黑体" w:cs="黑体"/>
          <w:b w:val="0"/>
          <w:bCs w:val="0"/>
          <w:color w:val="auto"/>
          <w:kern w:val="0"/>
          <w:sz w:val="28"/>
          <w:szCs w:val="28"/>
          <w:lang w:eastAsia="zh-Hans"/>
        </w:rPr>
      </w:pPr>
      <w:r>
        <w:rPr>
          <w:rFonts w:hint="eastAsia" w:ascii="仿宋_GB2312" w:hAnsi="仿宋_GB2312" w:eastAsia="仿宋_GB2312" w:cs="仿宋_GB2312"/>
          <w:color w:val="auto"/>
          <w:kern w:val="0"/>
          <w:sz w:val="24"/>
          <w:szCs w:val="24"/>
        </w:rPr>
        <w:t>供应商投标第二类医疗器械必须具备医疗器械注册证或医疗器械备案凭证,且必须为四川省药械集中采购及价格监管平台挂网公示产品，提供产品挂网商品代码</w:t>
      </w:r>
      <w:r>
        <w:rPr>
          <w:rFonts w:hint="default" w:ascii="仿宋_GB2312" w:hAnsi="仿宋_GB2312" w:eastAsia="仿宋_GB2312" w:cs="仿宋_GB2312"/>
          <w:color w:val="auto"/>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w:t>
      </w:r>
      <w:bookmarkStart w:id="1" w:name="_GoBack"/>
      <w:bookmarkEnd w:id="1"/>
      <w:r>
        <w:rPr>
          <w:rFonts w:hint="eastAsia" w:ascii="仿宋_GB2312" w:hAnsi="仿宋_GB2312" w:eastAsia="仿宋_GB2312" w:cs="仿宋_GB2312"/>
          <w:color w:val="auto"/>
          <w:kern w:val="0"/>
          <w:sz w:val="24"/>
          <w:szCs w:val="24"/>
        </w:rPr>
        <w:t>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1832"/>
        <w:gridCol w:w="740"/>
        <w:gridCol w:w="600"/>
        <w:gridCol w:w="758"/>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8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7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7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right="0" w:rightChars="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sz w:val="28"/>
                <w:szCs w:val="28"/>
                <w:lang w:val="en-US" w:eastAsia="zh-CN"/>
              </w:rPr>
              <w:t>地中海贫血基因检测试剂盒 (PCR+导流杂交法）</w:t>
            </w: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lang w:val="en-US" w:eastAsia="zh-CN" w:bidi="ar-SA"/>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default" w:ascii="仿宋_GB2312" w:hAnsi="仿宋_GB2312" w:eastAsia="仿宋_GB2312" w:cs="仿宋_GB2312"/>
                <w:color w:val="auto"/>
                <w:kern w:val="0"/>
                <w:sz w:val="18"/>
                <w:szCs w:val="18"/>
                <w:lang w:eastAsia="zh-CN"/>
              </w:rPr>
            </w:pPr>
            <w:r>
              <w:rPr>
                <w:rFonts w:hint="default" w:ascii="仿宋_GB2312" w:hAnsi="仿宋_GB2312" w:eastAsia="仿宋_GB2312" w:cs="仿宋_GB2312"/>
                <w:color w:val="auto"/>
                <w:kern w:val="0"/>
                <w:sz w:val="18"/>
                <w:szCs w:val="18"/>
                <w:lang w:eastAsia="zh-Hans"/>
              </w:rPr>
              <w:t>600</w:t>
            </w:r>
            <w:r>
              <w:rPr>
                <w:rFonts w:hint="eastAsia" w:ascii="仿宋_GB2312" w:hAnsi="仿宋_GB2312" w:eastAsia="仿宋_GB2312" w:cs="仿宋_GB2312"/>
                <w:color w:val="auto"/>
                <w:kern w:val="0"/>
                <w:sz w:val="18"/>
                <w:szCs w:val="18"/>
                <w:lang w:val="en-US" w:eastAsia="zh-Hans"/>
              </w:rPr>
              <w:t>人份</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eastAsia" w:ascii="仿宋_GB2312" w:hAnsi="仿宋_GB2312" w:eastAsia="仿宋_GB2312" w:cs="仿宋_GB2312"/>
                <w:color w:val="auto"/>
                <w:kern w:val="0"/>
                <w:sz w:val="18"/>
                <w:szCs w:val="18"/>
              </w:rPr>
            </w:pP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both"/>
              <w:rPr>
                <w:rFonts w:hint="eastAsia" w:ascii="仿宋_GB2312" w:hAnsi="仿宋_GB2312" w:eastAsia="仿宋_GB2312" w:cs="仿宋_GB2312"/>
                <w:color w:val="auto"/>
                <w:kern w:val="0"/>
                <w:sz w:val="18"/>
                <w:szCs w:val="18"/>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18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7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7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blPrEx>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1</w:t>
      </w:r>
      <w:r>
        <w:rPr>
          <w:rFonts w:hint="eastAsia" w:ascii="楷体_GB2312" w:hAnsi="楷体_GB2312" w:eastAsia="楷体_GB2312" w:cs="楷体_GB2312"/>
          <w:color w:val="auto"/>
          <w:kern w:val="0"/>
          <w:sz w:val="24"/>
          <w:szCs w:val="24"/>
          <w:highlight w:val="yellow"/>
          <w:lang w:val="en-US" w:eastAsia="zh-CN"/>
        </w:rPr>
        <w:t>.</w:t>
      </w:r>
      <w:r>
        <w:rPr>
          <w:rFonts w:hint="eastAsia" w:ascii="楷体_GB2312" w:hAnsi="楷体_GB2312" w:eastAsia="楷体_GB2312" w:cs="楷体_GB2312"/>
          <w:color w:val="auto"/>
          <w:kern w:val="0"/>
          <w:sz w:val="24"/>
          <w:szCs w:val="24"/>
          <w:highlight w:val="yellow"/>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2.</w:t>
      </w:r>
      <w:r>
        <w:rPr>
          <w:rFonts w:hint="eastAsia" w:ascii="楷体_GB2312" w:hAnsi="楷体_GB2312" w:eastAsia="楷体_GB2312" w:cs="楷体_GB2312"/>
          <w:color w:val="auto"/>
          <w:kern w:val="0"/>
          <w:sz w:val="24"/>
          <w:szCs w:val="24"/>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lang w:val="en-US" w:eastAsia="zh-CN"/>
        </w:rPr>
        <w:t>3.</w:t>
      </w:r>
      <w:r>
        <w:rPr>
          <w:rFonts w:hint="eastAsia" w:ascii="楷体_GB2312" w:hAnsi="楷体_GB2312" w:eastAsia="楷体_GB2312" w:cs="楷体_GB2312"/>
          <w:color w:val="auto"/>
          <w:kern w:val="0"/>
          <w:sz w:val="24"/>
          <w:szCs w:val="24"/>
        </w:rPr>
        <w:t>“品目及报价表”为多页的，每页均需由法定代表人或授权代表签字并盖投标人印章。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C5D136C"/>
    <w:rsid w:val="1A3D0D9C"/>
    <w:rsid w:val="264D7A9F"/>
    <w:rsid w:val="29351CDC"/>
    <w:rsid w:val="29DA7375"/>
    <w:rsid w:val="2D7589E5"/>
    <w:rsid w:val="37D12C5A"/>
    <w:rsid w:val="37FD8FAF"/>
    <w:rsid w:val="3BF15427"/>
    <w:rsid w:val="47CB3CB6"/>
    <w:rsid w:val="4BD171AC"/>
    <w:rsid w:val="4C2F3C73"/>
    <w:rsid w:val="525464FE"/>
    <w:rsid w:val="5B7B1180"/>
    <w:rsid w:val="5CBBE8AA"/>
    <w:rsid w:val="5EE457B5"/>
    <w:rsid w:val="63B95BBB"/>
    <w:rsid w:val="70136FDB"/>
    <w:rsid w:val="77EC45E7"/>
    <w:rsid w:val="77FFF73E"/>
    <w:rsid w:val="79BB8378"/>
    <w:rsid w:val="7B5105D7"/>
    <w:rsid w:val="7D167288"/>
    <w:rsid w:val="7DFF66F5"/>
    <w:rsid w:val="7F3781FE"/>
    <w:rsid w:val="7F75FB0C"/>
    <w:rsid w:val="7FDE4B2D"/>
    <w:rsid w:val="9C672FAF"/>
    <w:rsid w:val="9DFFDE03"/>
    <w:rsid w:val="C46D923C"/>
    <w:rsid w:val="DEFB0E0E"/>
    <w:rsid w:val="EFB88EEB"/>
    <w:rsid w:val="EFFE8D6C"/>
    <w:rsid w:val="F3D69049"/>
    <w:rsid w:val="F6EDD5E4"/>
    <w:rsid w:val="FEDAF052"/>
    <w:rsid w:val="FEEF0FA6"/>
    <w:rsid w:val="FFD7A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1">
    <w:name w:val="List Paragraph"/>
    <w:basedOn w:val="1"/>
    <w:qFormat/>
    <w:uiPriority w:val="34"/>
    <w:pPr>
      <w:ind w:firstLine="420" w:firstLineChars="200"/>
    </w:pPr>
  </w:style>
  <w:style w:type="paragraph" w:customStyle="1" w:styleId="12">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3489</Words>
  <Characters>3668</Characters>
  <Lines>23</Lines>
  <Paragraphs>6</Paragraphs>
  <TotalTime>2</TotalTime>
  <ScaleCrop>false</ScaleCrop>
  <LinksUpToDate>false</LinksUpToDate>
  <CharactersWithSpaces>3720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2019-11-30T01:32:00Z</dcterms:created>
  <dc:creator>a</dc:creator>
  <cp:lastModifiedBy>然然亦兮</cp:lastModifiedBy>
  <cp:lastPrinted>2022-03-21T23:21:00Z</cp:lastPrinted>
  <dcterms:modified xsi:type="dcterms:W3CDTF">2022-04-02T06:24:50Z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9AE57CD7CBF44BB19001A147D83A5501</vt:lpwstr>
  </property>
</Properties>
</file>