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0"/>
        </w:numPr>
        <w:shd w:val="clear" w:color="auto" w:fill="FFFFFF"/>
        <w:spacing w:line="600" w:lineRule="exact"/>
        <w:jc w:val="left"/>
        <w:rPr>
          <w:rFonts w:hint="eastAsia" w:ascii="仿宋" w:hAnsi="仿宋" w:eastAsia="仿宋" w:cs="Segoe UI"/>
          <w:color w:val="auto"/>
          <w:spacing w:val="8"/>
          <w:kern w:val="0"/>
          <w:sz w:val="32"/>
          <w:szCs w:val="32"/>
          <w:lang w:eastAsia="zh-CN"/>
        </w:rPr>
      </w:pPr>
      <w:r>
        <w:rPr>
          <w:rFonts w:hint="eastAsia" w:ascii="仿宋" w:hAnsi="仿宋" w:eastAsia="仿宋" w:cs="Segoe UI"/>
          <w:color w:val="auto"/>
          <w:spacing w:val="8"/>
          <w:kern w:val="0"/>
          <w:sz w:val="32"/>
          <w:szCs w:val="32"/>
          <w:lang w:val="en-US" w:eastAsia="zh-CN"/>
        </w:rPr>
        <w:t>1.</w:t>
      </w:r>
      <w:r>
        <w:rPr>
          <w:rFonts w:hint="eastAsia" w:ascii="仿宋" w:hAnsi="仿宋" w:eastAsia="仿宋" w:cs="Segoe UI"/>
          <w:color w:val="auto"/>
          <w:spacing w:val="8"/>
          <w:kern w:val="0"/>
          <w:sz w:val="32"/>
          <w:szCs w:val="32"/>
        </w:rPr>
        <w:t>产品名称：</w:t>
      </w:r>
      <w:r>
        <w:rPr>
          <w:rFonts w:hint="eastAsia" w:ascii="仿宋" w:hAnsi="仿宋" w:eastAsia="仿宋" w:cs="Segoe UI"/>
          <w:color w:val="auto"/>
          <w:spacing w:val="8"/>
          <w:kern w:val="0"/>
          <w:sz w:val="32"/>
          <w:szCs w:val="32"/>
          <w:lang w:eastAsia="zh-CN"/>
        </w:rPr>
        <w:t>Y染色体微缺失基因检测试剂盒（PCR-毛细管电泳法）</w:t>
      </w:r>
    </w:p>
    <w:p>
      <w:pPr>
        <w:widowControl/>
        <w:numPr>
          <w:ilvl w:val="0"/>
          <w:numId w:val="0"/>
        </w:numPr>
        <w:shd w:val="clear" w:color="auto" w:fill="FFFFFF"/>
        <w:spacing w:line="600" w:lineRule="exact"/>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2.数量：详见产品年度预计用量</w:t>
      </w:r>
    </w:p>
    <w:p>
      <w:pPr>
        <w:widowControl/>
        <w:shd w:val="clear" w:color="auto" w:fill="FFFFFF"/>
        <w:spacing w:line="600" w:lineRule="exact"/>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3.技术参数要求：</w:t>
      </w:r>
    </w:p>
    <w:tbl>
      <w:tblPr>
        <w:tblStyle w:val="6"/>
        <w:tblW w:w="9640" w:type="dxa"/>
        <w:tblInd w:w="-846" w:type="dxa"/>
        <w:tblLayout w:type="autofit"/>
        <w:tblCellMar>
          <w:top w:w="0" w:type="dxa"/>
          <w:left w:w="0" w:type="dxa"/>
          <w:bottom w:w="0" w:type="dxa"/>
          <w:right w:w="0" w:type="dxa"/>
        </w:tblCellMar>
      </w:tblPr>
      <w:tblGrid>
        <w:gridCol w:w="709"/>
        <w:gridCol w:w="1832"/>
        <w:gridCol w:w="1100"/>
        <w:gridCol w:w="5999"/>
      </w:tblGrid>
      <w:tr>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产品名称</w:t>
            </w:r>
          </w:p>
        </w:tc>
        <w:tc>
          <w:tcPr>
            <w:tcW w:w="11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年度预计用量</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技术参数</w:t>
            </w:r>
          </w:p>
        </w:tc>
      </w:tr>
      <w:tr>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auto"/>
                <w:kern w:val="0"/>
                <w:sz w:val="24"/>
                <w:szCs w:val="24"/>
              </w:rPr>
            </w:pPr>
            <w:r>
              <w:rPr>
                <w:rFonts w:hint="eastAsia"/>
                <w:color w:val="auto"/>
              </w:rPr>
              <w:t>Y染色体微缺失基因检测试剂盒（PCR-毛细管电泳法）</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auto"/>
                <w:kern w:val="0"/>
                <w:sz w:val="24"/>
                <w:szCs w:val="24"/>
                <w:lang w:val="en-US" w:eastAsia="zh-CN"/>
              </w:rPr>
            </w:pPr>
            <w:r>
              <w:rPr>
                <w:rFonts w:hint="eastAsia" w:ascii="宋体" w:hAnsi="宋体" w:eastAsia="宋体" w:cs="Times New Roman"/>
                <w:color w:val="auto"/>
                <w:kern w:val="2"/>
                <w:sz w:val="18"/>
                <w:szCs w:val="18"/>
                <w:lang w:val="en-US" w:eastAsia="zh-CN" w:bidi="ar-SA"/>
              </w:rPr>
              <w:t>120人份</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color w:val="auto"/>
              </w:rPr>
            </w:pPr>
            <w:r>
              <w:rPr>
                <w:rFonts w:hint="eastAsia"/>
                <w:color w:val="auto"/>
              </w:rPr>
              <w:t>*1.本试剂盒用于体外定性检测人类（男性）全血基因组 DNA 样本，可以检测 Y 染色体上影响精子生成的AZF区域是否发生片段微缺失。检测的位点必须包括 6 个基础位点（AZFa 区（sY84、 sY86）、AZFb 区（sY127、 sY134）、AZFc 区（sY254、sY255））和sY160、SRY、ZFX/Y 等位点。</w:t>
            </w:r>
          </w:p>
          <w:p>
            <w:pPr>
              <w:widowControl/>
              <w:spacing w:line="300" w:lineRule="auto"/>
              <w:jc w:val="left"/>
              <w:rPr>
                <w:rFonts w:hint="eastAsia"/>
                <w:color w:val="auto"/>
              </w:rPr>
            </w:pPr>
            <w:r>
              <w:rPr>
                <w:rFonts w:hint="eastAsia"/>
                <w:color w:val="auto"/>
              </w:rPr>
              <w:t>*2.产品采用多重PCR扩增加毛细管电泳的技术方法。</w:t>
            </w:r>
          </w:p>
          <w:p>
            <w:pPr>
              <w:widowControl/>
              <w:spacing w:line="300" w:lineRule="auto"/>
              <w:jc w:val="left"/>
              <w:rPr>
                <w:rFonts w:hint="eastAsia"/>
                <w:color w:val="auto"/>
              </w:rPr>
            </w:pPr>
            <w:r>
              <w:rPr>
                <w:rFonts w:hint="eastAsia"/>
                <w:color w:val="auto"/>
              </w:rPr>
              <w:t>3.检测性能：特异性强； 重复性好；</w:t>
            </w:r>
          </w:p>
          <w:p>
            <w:pPr>
              <w:widowControl/>
              <w:spacing w:line="300" w:lineRule="auto"/>
              <w:jc w:val="left"/>
              <w:rPr>
                <w:rFonts w:hint="eastAsia"/>
                <w:color w:val="auto"/>
              </w:rPr>
            </w:pPr>
            <w:r>
              <w:rPr>
                <w:rFonts w:hint="eastAsia"/>
                <w:color w:val="auto"/>
              </w:rPr>
              <w:t>4.灵敏性高，能稳定检出大于2ng/μL人类基因组 DNA。</w:t>
            </w:r>
          </w:p>
          <w:p>
            <w:pPr>
              <w:widowControl/>
              <w:spacing w:line="300" w:lineRule="auto"/>
              <w:jc w:val="left"/>
              <w:rPr>
                <w:rFonts w:ascii="仿宋" w:hAnsi="仿宋" w:eastAsia="仿宋" w:cs="宋体"/>
                <w:color w:val="auto"/>
                <w:kern w:val="0"/>
                <w:sz w:val="24"/>
                <w:szCs w:val="24"/>
              </w:rPr>
            </w:pPr>
            <w:r>
              <w:rPr>
                <w:rFonts w:hint="eastAsia"/>
                <w:color w:val="auto"/>
              </w:rPr>
              <w:t>*5.适用于市面上大部分PCR仪和AB3500DX基因分析仪。</w:t>
            </w:r>
          </w:p>
        </w:tc>
      </w:tr>
    </w:tbl>
    <w:p>
      <w:pPr>
        <w:widowControl/>
        <w:shd w:val="clear" w:color="auto" w:fill="FFFFFF"/>
        <w:wordWrap w:val="0"/>
        <w:spacing w:line="276" w:lineRule="auto"/>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4.商务要求：</w:t>
      </w:r>
    </w:p>
    <w:p>
      <w:pPr>
        <w:widowControl/>
        <w:ind w:firstLine="592" w:firstLineChars="200"/>
        <w:jc w:val="left"/>
        <w:rPr>
          <w:rFonts w:ascii="宋体" w:hAnsi="宋体" w:eastAsia="宋体" w:cs="Segoe UI"/>
          <w:b/>
          <w:bCs/>
          <w:color w:val="333333"/>
          <w:kern w:val="0"/>
          <w:sz w:val="28"/>
          <w:szCs w:val="28"/>
        </w:rPr>
      </w:pPr>
      <w:r>
        <w:rPr>
          <w:rFonts w:hint="eastAsia" w:ascii="仿宋" w:hAnsi="仿宋" w:eastAsia="仿宋" w:cs="Segoe UI"/>
          <w:color w:val="auto"/>
          <w:spacing w:val="8"/>
          <w:kern w:val="0"/>
          <w:sz w:val="28"/>
          <w:szCs w:val="28"/>
        </w:rPr>
        <w:t>供应商投标第二类医疗器械必须具备医疗器械注册证或医疗器械备案凭证,且必须为四川省药械集中采购及价格监管平台挂网公示产品，提供产品挂网商品代码。</w:t>
      </w:r>
      <w:bookmarkStart w:id="1" w:name="_GoBack"/>
      <w:bookmarkEnd w:id="1"/>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说明</w:t>
            </w:r>
          </w:p>
        </w:tc>
      </w:tr>
      <w:tr>
        <w:tblPrEx>
          <w:shd w:val="clear" w:color="auto" w:fill="FFFFFF"/>
        </w:tblPrEx>
        <w:trPr>
          <w:trHeight w:val="218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投标报价</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w:t>
            </w:r>
            <w:r>
              <w:rPr>
                <w:rFonts w:hint="eastAsia"/>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35</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1.价格分：</w:t>
            </w:r>
          </w:p>
          <w:p>
            <w:pPr>
              <w:widowControl/>
              <w:jc w:val="left"/>
              <w:textAlignment w:val="center"/>
              <w:rPr>
                <w:rFonts w:hint="default" w:eastAsia="宋体"/>
                <w:lang w:val="en-US" w:eastAsia="zh-CN"/>
              </w:rPr>
            </w:pPr>
            <w:r>
              <w:rPr>
                <w:rFonts w:hint="eastAsia"/>
              </w:rPr>
              <w:t>投标材料满足招标文件要求且以投标总价最低的为评标基准价，其价格分为</w:t>
            </w:r>
            <w:r>
              <w:rPr>
                <w:rFonts w:hint="eastAsia"/>
                <w:lang w:val="en-US" w:eastAsia="zh-CN"/>
              </w:rPr>
              <w:t>35</w:t>
            </w:r>
            <w:r>
              <w:rPr>
                <w:rFonts w:hint="eastAsia"/>
              </w:rPr>
              <w:t>分。其他投标单位的价格分统一按照以下公式计算：价格分=(评标基准价／投标总价)×</w:t>
            </w:r>
            <w:r>
              <w:rPr>
                <w:rFonts w:hint="eastAsia"/>
                <w:lang w:val="en-US" w:eastAsia="zh-CN"/>
              </w:rPr>
              <w:t>35</w:t>
            </w:r>
          </w:p>
          <w:p>
            <w:pPr>
              <w:widowControl/>
              <w:jc w:val="left"/>
              <w:textAlignment w:val="center"/>
              <w:rPr>
                <w:rFonts w:hint="eastAsia"/>
              </w:rPr>
            </w:pPr>
            <w:r>
              <w:rPr>
                <w:rFonts w:hint="eastAsia"/>
              </w:rPr>
              <w:t>2.投标总价</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1.价格评分细分材料表详见附表1；</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2.若同种产品有多种规格型号且涉及不同报价，投标单价按照不同规格报价的均价计算。</w:t>
            </w:r>
          </w:p>
        </w:tc>
      </w:tr>
      <w:tr>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技术指标</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r>
              <w:rPr>
                <w:rFonts w:hint="eastAsia"/>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40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投标人提供的检测试剂的技术参数完全符合招标文件要求，没有负偏离得</w:t>
            </w:r>
            <w:r>
              <w:rPr>
                <w:rFonts w:hint="eastAsia"/>
                <w:lang w:val="en-US" w:eastAsia="zh-CN"/>
              </w:rPr>
              <w:t>40</w:t>
            </w:r>
            <w:r>
              <w:rPr>
                <w:rFonts w:hint="eastAsia"/>
              </w:rPr>
              <w:t>分；非“*”条款技术参数不满足招标文件要求（负偏离），一项扣</w:t>
            </w:r>
            <w:r>
              <w:rPr>
                <w:rFonts w:hint="eastAsia"/>
                <w:lang w:val="en-US" w:eastAsia="zh-CN"/>
              </w:rPr>
              <w:t>5</w:t>
            </w:r>
            <w:r>
              <w:rPr>
                <w:rFonts w:hint="eastAsia"/>
              </w:rPr>
              <w:t>分，“*”条款技术参数与招标文件要求有负偏离的，一项扣</w:t>
            </w:r>
            <w:r>
              <w:rPr>
                <w:rFonts w:hint="eastAsia"/>
                <w:lang w:val="en-US" w:eastAsia="zh-CN"/>
              </w:rPr>
              <w:t>10</w:t>
            </w:r>
            <w:r>
              <w:rPr>
                <w:rFonts w:hint="eastAsia"/>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rPr>
          <w:trHeight w:val="1203"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3</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供应商能力15%</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Theme="minorHAnsi" w:hAnsiTheme="minorHAnsi" w:eastAsiaTheme="minorEastAsia" w:cstheme="minorBidi"/>
                <w:kern w:val="2"/>
                <w:sz w:val="21"/>
                <w:szCs w:val="22"/>
                <w:lang w:val="en-US" w:eastAsia="zh-CN" w:bidi="ar-SA"/>
              </w:rPr>
            </w:pPr>
            <w:r>
              <w:rPr>
                <w:rFonts w:hint="eastAsia"/>
              </w:rPr>
              <w:t>15</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投标人需提供该产品2019年以来国内三甲医疗机构客户名单，每提供1家三甲医疗机构得3分，最多15分。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以下三项材料均可作为依据：</w:t>
            </w:r>
          </w:p>
          <w:p>
            <w:pPr>
              <w:widowControl/>
              <w:jc w:val="left"/>
              <w:textAlignment w:val="center"/>
              <w:rPr>
                <w:rFonts w:hint="eastAsia"/>
              </w:rPr>
            </w:pPr>
            <w:r>
              <w:rPr>
                <w:rFonts w:hint="eastAsia"/>
              </w:rPr>
              <w:t>1.合同复印件；</w:t>
            </w:r>
          </w:p>
          <w:p>
            <w:pPr>
              <w:widowControl/>
              <w:jc w:val="left"/>
              <w:textAlignment w:val="center"/>
              <w:rPr>
                <w:rFonts w:hint="eastAsia"/>
              </w:rPr>
            </w:pPr>
            <w:r>
              <w:rPr>
                <w:rFonts w:hint="eastAsia"/>
              </w:rPr>
              <w:t>2.中标通知书；</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3.发票复印件（若发票复印件上无产品明细则需附销货清单）；</w:t>
            </w:r>
          </w:p>
        </w:tc>
      </w:tr>
      <w:tr>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4</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售后服务</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0</w:t>
            </w:r>
            <w:r>
              <w:rPr>
                <w:rFonts w:hint="eastAsia"/>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eastAsia="宋体" w:asciiTheme="minorHAnsi" w:hAnsiTheme="minorHAnsi" w:cstheme="minorBidi"/>
                <w:kern w:val="2"/>
                <w:sz w:val="21"/>
                <w:szCs w:val="22"/>
                <w:lang w:val="en-US" w:eastAsia="zh-CN" w:bidi="ar-SA"/>
              </w:rPr>
            </w:pPr>
            <w:r>
              <w:rPr>
                <w:rFonts w:hint="eastAsia"/>
              </w:rPr>
              <w:t>1</w:t>
            </w:r>
            <w:r>
              <w:rPr>
                <w:rFonts w:hint="eastAsia"/>
                <w:lang w:val="en-US" w:eastAsia="zh-CN"/>
              </w:rPr>
              <w:t>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根据供应商提供的售后服务方案，包含：①质量保证范围；②售后服务承诺；③人员培训计划；④应急预案；⑤产品彩页简介等五个方面进行评审，五个方面提供完整且描述详细，符合本项目实际情况、有利于项目实施的得</w:t>
            </w:r>
            <w:r>
              <w:rPr>
                <w:rFonts w:hint="eastAsia"/>
                <w:lang w:val="en-US" w:eastAsia="zh-CN"/>
              </w:rPr>
              <w:t>10</w:t>
            </w:r>
            <w:r>
              <w:rPr>
                <w:rFonts w:hint="eastAsia"/>
              </w:rPr>
              <w:t>分；每缺少一项或提供的方案与本项目无关的扣</w:t>
            </w:r>
            <w:r>
              <w:rPr>
                <w:rFonts w:hint="eastAsia"/>
                <w:lang w:val="en-US" w:eastAsia="zh-CN"/>
              </w:rPr>
              <w:t>2</w:t>
            </w:r>
            <w:r>
              <w:rPr>
                <w:rFonts w:hint="eastAsia"/>
              </w:rPr>
              <w:t>分；每有一项存在缺陷或漏洞的，且不利于项目实施的扣</w:t>
            </w:r>
            <w:r>
              <w:rPr>
                <w:rFonts w:hint="eastAsia"/>
                <w:lang w:val="en-US" w:eastAsia="zh-CN"/>
              </w:rPr>
              <w:t>1</w:t>
            </w:r>
            <w:r>
              <w:rPr>
                <w:rFonts w:hint="eastAsia"/>
              </w:rPr>
              <w:t>分，分值扣完为止。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default" w:asciiTheme="minorHAnsi" w:hAnsiTheme="minorHAnsi" w:eastAsiaTheme="minorEastAsia" w:cstheme="minorBidi"/>
                <w:kern w:val="2"/>
                <w:sz w:val="21"/>
                <w:szCs w:val="22"/>
                <w:lang w:val="en-US" w:eastAsia="zh-CN" w:bidi="ar-SA"/>
              </w:rPr>
            </w:pPr>
            <w:r>
              <w:rPr>
                <w:rFonts w:hint="eastAsia"/>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775" w:type="dxa"/>
        <w:tblInd w:w="0" w:type="dxa"/>
        <w:shd w:val="clear" w:color="auto" w:fill="FFFFFF"/>
        <w:tblLayout w:type="autofit"/>
        <w:tblCellMar>
          <w:top w:w="0" w:type="dxa"/>
          <w:left w:w="0" w:type="dxa"/>
          <w:bottom w:w="0" w:type="dxa"/>
          <w:right w:w="0" w:type="dxa"/>
        </w:tblCellMar>
      </w:tblPr>
      <w:tblGrid>
        <w:gridCol w:w="466"/>
        <w:gridCol w:w="1570"/>
        <w:gridCol w:w="817"/>
        <w:gridCol w:w="550"/>
        <w:gridCol w:w="1066"/>
        <w:gridCol w:w="534"/>
        <w:gridCol w:w="1059"/>
        <w:gridCol w:w="850"/>
        <w:gridCol w:w="936"/>
        <w:gridCol w:w="947"/>
        <w:gridCol w:w="19"/>
        <w:gridCol w:w="961"/>
      </w:tblGrid>
      <w:tr>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5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Y染色体微缺失基因检测试剂盒（PCR-毛细管电泳法）</w:t>
            </w:r>
          </w:p>
        </w:tc>
        <w:tc>
          <w:tcPr>
            <w:tcW w:w="8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120人份</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29" w:usb3="00000000" w:csb0="200001DF" w:csb1="2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1FB0577"/>
    <w:rsid w:val="0C41127C"/>
    <w:rsid w:val="0C426182"/>
    <w:rsid w:val="0C992E66"/>
    <w:rsid w:val="117C2CD0"/>
    <w:rsid w:val="1B5468D6"/>
    <w:rsid w:val="1D2A46D6"/>
    <w:rsid w:val="26302C07"/>
    <w:rsid w:val="2BF769D8"/>
    <w:rsid w:val="3FFA53EF"/>
    <w:rsid w:val="408D36B4"/>
    <w:rsid w:val="45CC01FF"/>
    <w:rsid w:val="4C707A3A"/>
    <w:rsid w:val="53EB3896"/>
    <w:rsid w:val="5B3E042E"/>
    <w:rsid w:val="62740BD9"/>
    <w:rsid w:val="638E5CCA"/>
    <w:rsid w:val="69C9180A"/>
    <w:rsid w:val="6AAF3782"/>
    <w:rsid w:val="7268502C"/>
    <w:rsid w:val="72A32EE1"/>
    <w:rsid w:val="76306143"/>
    <w:rsid w:val="77BE2454"/>
    <w:rsid w:val="7CCA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3719</Words>
  <Characters>3870</Characters>
  <Lines>34</Lines>
  <Paragraphs>9</Paragraphs>
  <TotalTime>0</TotalTime>
  <ScaleCrop>false</ScaleCrop>
  <LinksUpToDate>false</LinksUpToDate>
  <CharactersWithSpaces>3933</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2021-07-27T16:46:00Z</dcterms:created>
  <dc:creator>a</dc:creator>
  <cp:lastModifiedBy>airie</cp:lastModifiedBy>
  <cp:lastPrinted>2022-03-10T16:50:00Z</cp:lastPrinted>
  <dcterms:modified xsi:type="dcterms:W3CDTF">2022-04-12T11:35:32Z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y fmtid="{D5CDD505-2E9C-101B-9397-08002B2CF9AE}" pid="3" name="ICV">
    <vt:lpwstr>EC63BFBCE43143EA9B84E4C2101A808F</vt:lpwstr>
  </property>
</Properties>
</file>