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ascii="黑体" w:hAnsi="宋体" w:eastAsia="黑体" w:cs="黑体"/>
          <w:sz w:val="32"/>
          <w:szCs w:val="32"/>
        </w:rPr>
        <w:t>1</w:t>
      </w:r>
    </w:p>
    <w:p>
      <w:pPr>
        <w:spacing w:line="240" w:lineRule="auto"/>
        <w:rPr>
          <w:rFonts w:ascii="黑体" w:eastAsia="黑体"/>
          <w:sz w:val="32"/>
          <w:szCs w:val="32"/>
        </w:rPr>
      </w:pPr>
    </w:p>
    <w:p>
      <w:pPr>
        <w:spacing w:line="240" w:lineRule="auto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个人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剂量监测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服务项目招标需求</w:t>
      </w:r>
    </w:p>
    <w:p>
      <w:pPr>
        <w:spacing w:line="24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一、服务范围</w:t>
      </w:r>
    </w:p>
    <w:p>
      <w:pPr>
        <w:pStyle w:val="3"/>
        <w:widowControl/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一)依据《中华人民共和国职业病防治法》及其配套规章、《放射性同位素与射线装置安全和防护条例》、《放射诊疗管理规定》、《建设项目职业病危害分类管理办法》进行操作和技术评价，保证技术服务质量。</w:t>
      </w:r>
    </w:p>
    <w:p>
      <w:pPr>
        <w:pStyle w:val="3"/>
        <w:widowControl/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(二)在每个监测开始前至少提前5个工作日将该监测周期的所有剂量计寄出给医院监测项目联系人。</w:t>
      </w:r>
    </w:p>
    <w:p>
      <w:pPr>
        <w:pStyle w:val="3"/>
        <w:widowControl/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(四)监测报告发现人员剂量超标情况时，检测公司要在3个工作日内向院方联系人反馈情况并提出切实可行的处理方案，配合医院解决问题。</w:t>
      </w:r>
    </w:p>
    <w:p>
      <w:pPr>
        <w:pStyle w:val="3"/>
        <w:widowControl/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(五)常规情况下每个监测周期为90天，院方有权调整监测周期长短，监测周期控制在30-90天内。因周期长短调整导致监测次数增加的，乙方需提供相应的检测报告，且不再收取额外费用。</w:t>
      </w:r>
    </w:p>
    <w:p>
      <w:pPr>
        <w:pStyle w:val="3"/>
        <w:widowControl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(六)严格遵守职业道德和执业纪律，不得泄露医院剂量检测数据，非法律规定或者医院书面同意，不得向任何第三方披露。</w:t>
      </w:r>
    </w:p>
    <w:p>
      <w:pPr>
        <w:pStyle w:val="3"/>
        <w:widowControl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二、项目内容</w:t>
      </w:r>
    </w:p>
    <w:p>
      <w:pPr>
        <w:pStyle w:val="3"/>
        <w:widowControl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个人剂量监测人员：普放人员 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>37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人，介入人员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>8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</w:t>
      </w:r>
    </w:p>
    <w:p>
      <w:pPr>
        <w:pStyle w:val="3"/>
        <w:widowControl/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三、服务期限：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</w:t>
      </w:r>
    </w:p>
    <w:p>
      <w:pPr>
        <w:pStyle w:val="3"/>
        <w:widowControl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276" w:lineRule="auto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276" w:lineRule="auto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276" w:lineRule="auto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276" w:lineRule="auto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276" w:lineRule="auto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276" w:lineRule="auto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276" w:lineRule="auto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276" w:lineRule="auto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276" w:lineRule="auto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276" w:lineRule="auto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276" w:lineRule="auto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276" w:lineRule="auto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276" w:lineRule="auto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276" w:lineRule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spacing w:line="276" w:lineRule="auto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法定代表人授权书</w:t>
      </w:r>
    </w:p>
    <w:p>
      <w:pPr>
        <w:spacing w:line="276" w:lineRule="auto"/>
        <w:jc w:val="center"/>
        <w:rPr>
          <w:rFonts w:ascii="黑体" w:hAnsi="黑体" w:eastAsia="黑体"/>
          <w:bCs/>
          <w:sz w:val="44"/>
          <w:szCs w:val="44"/>
        </w:rPr>
      </w:pPr>
    </w:p>
    <w:p>
      <w:pPr>
        <w:tabs>
          <w:tab w:val="left" w:pos="6300"/>
        </w:tabs>
        <w:spacing w:line="276" w:lineRule="auto"/>
        <w:rPr>
          <w:rFonts w:ascii="仿宋_GB2312" w:eastAsia="仿宋_GB2312"/>
          <w:color w:val="000000"/>
          <w:sz w:val="32"/>
          <w:szCs w:val="32"/>
          <w:lang w:val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276" w:lineRule="auto"/>
        <w:ind w:firstLine="640" w:firstLineChars="200"/>
        <w:rPr>
          <w:rFonts w:ascii="仿宋_GB2312" w:eastAsia="仿宋_GB2312"/>
          <w:color w:val="000000"/>
          <w:sz w:val="32"/>
          <w:szCs w:val="32"/>
          <w:lang w:val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本授权委托书声明：我         系          的法定代表人，现授权      为我公司（</w:t>
      </w:r>
      <w:r>
        <w:rPr>
          <w:rFonts w:hint="eastAsia" w:ascii="仿宋_GB2312" w:eastAsia="仿宋_GB2312"/>
          <w:color w:val="000000"/>
          <w:sz w:val="32"/>
          <w:szCs w:val="32"/>
        </w:rPr>
        <w:t>律所）</w:t>
      </w: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委托代理人，以本公司（</w:t>
      </w:r>
      <w:r>
        <w:rPr>
          <w:rFonts w:hint="eastAsia" w:ascii="仿宋_GB2312" w:eastAsia="仿宋_GB2312"/>
          <w:color w:val="000000"/>
          <w:sz w:val="32"/>
          <w:szCs w:val="32"/>
        </w:rPr>
        <w:t>律所）</w:t>
      </w: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的名义参加四川省妇幼保健院</w:t>
      </w:r>
      <w:r>
        <w:rPr>
          <w:rFonts w:hint="eastAsia" w:ascii="仿宋_GB2312" w:eastAsia="仿宋_GB2312"/>
          <w:color w:val="000000"/>
          <w:sz w:val="32"/>
          <w:szCs w:val="32"/>
        </w:rPr>
        <w:t>法律顾问服务招标</w:t>
      </w: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活动。委托代理人在</w:t>
      </w:r>
      <w:r>
        <w:rPr>
          <w:rFonts w:hint="eastAsia" w:ascii="仿宋_GB2312" w:eastAsia="仿宋_GB2312"/>
          <w:color w:val="000000"/>
          <w:sz w:val="32"/>
          <w:szCs w:val="32"/>
        </w:rPr>
        <w:t>法律顾问服务招标</w:t>
      </w: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活动过程中所签署的一切文件和处理与之有关的一切事务，我及我的公司（</w:t>
      </w:r>
      <w:r>
        <w:rPr>
          <w:rFonts w:hint="eastAsia" w:ascii="仿宋_GB2312" w:eastAsia="仿宋_GB2312"/>
          <w:color w:val="000000"/>
          <w:sz w:val="32"/>
          <w:szCs w:val="32"/>
        </w:rPr>
        <w:t>律所</w:t>
      </w: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）均予以承认并全部承担其产生的所有权利和义务。</w:t>
      </w:r>
    </w:p>
    <w:p>
      <w:pPr>
        <w:tabs>
          <w:tab w:val="left" w:pos="720"/>
          <w:tab w:val="left" w:pos="6300"/>
        </w:tabs>
        <w:spacing w:line="276" w:lineRule="auto"/>
        <w:ind w:firstLine="640" w:firstLineChars="200"/>
        <w:rPr>
          <w:rFonts w:ascii="仿宋_GB2312" w:eastAsia="仿宋_GB2312"/>
          <w:color w:val="000000"/>
          <w:sz w:val="32"/>
          <w:szCs w:val="32"/>
          <w:lang w:val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委托代理人无转委托权。特此委托。</w:t>
      </w:r>
    </w:p>
    <w:p>
      <w:pPr>
        <w:tabs>
          <w:tab w:val="left" w:pos="720"/>
          <w:tab w:val="left" w:pos="6300"/>
        </w:tabs>
        <w:spacing w:line="276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6300"/>
        </w:tabs>
        <w:spacing w:line="276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特此声明</w:t>
      </w:r>
    </w:p>
    <w:p>
      <w:pPr>
        <w:tabs>
          <w:tab w:val="left" w:pos="6300"/>
        </w:tabs>
        <w:spacing w:line="276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法定代表人签字：</w:t>
      </w:r>
    </w:p>
    <w:p>
      <w:pPr>
        <w:tabs>
          <w:tab w:val="left" w:pos="6300"/>
        </w:tabs>
        <w:spacing w:line="276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授权代表签字：</w:t>
      </w:r>
    </w:p>
    <w:p>
      <w:pPr>
        <w:spacing w:line="276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投标人名称：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     （加盖公章）</w:t>
      </w:r>
    </w:p>
    <w:p>
      <w:pPr>
        <w:spacing w:line="276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日期：</w:t>
      </w:r>
    </w:p>
    <w:p>
      <w:pPr>
        <w:spacing w:line="276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6300"/>
        </w:tabs>
        <w:spacing w:line="276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★说明：上述证明文件附有法定代表人、被授权代表身份证复印件（加盖公章）时才能生效。</w:t>
      </w:r>
    </w:p>
    <w:p>
      <w:pPr>
        <w:rPr>
          <w:rFonts w:ascii="仿宋_GB2312" w:eastAsia="仿宋_GB2312"/>
        </w:rPr>
      </w:pPr>
    </w:p>
    <w:p/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报价一览表</w:t>
      </w:r>
    </w:p>
    <w:p>
      <w:pPr>
        <w:pStyle w:val="2"/>
        <w:rPr>
          <w:rFonts w:hint="eastAsia"/>
        </w:rPr>
      </w:pPr>
    </w:p>
    <w:tbl>
      <w:tblPr>
        <w:tblStyle w:val="4"/>
        <w:tblpPr w:leftFromText="180" w:rightFromText="180" w:vertAnchor="text" w:horzAnchor="page" w:tblpXSpec="center" w:tblpY="318"/>
        <w:tblOverlap w:val="never"/>
        <w:tblW w:w="8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811"/>
        <w:gridCol w:w="1991"/>
        <w:gridCol w:w="1814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服务内容</w:t>
            </w:r>
          </w:p>
        </w:tc>
        <w:tc>
          <w:tcPr>
            <w:tcW w:w="1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服务时间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金额（万元）</w:t>
            </w:r>
          </w:p>
        </w:tc>
        <w:tc>
          <w:tcPr>
            <w:tcW w:w="1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widowControl/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widowControl/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widowControl/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供应商名称：         （盖公章）</w:t>
      </w:r>
    </w:p>
    <w:p>
      <w:pPr>
        <w:widowControl/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法定代表人（或负责人）或授权代表（签字或加盖个人名章）：</w:t>
      </w:r>
    </w:p>
    <w:p>
      <w:pPr>
        <w:widowControl/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日期：     年    月    日</w:t>
      </w:r>
    </w:p>
    <w:p>
      <w:pPr>
        <w:widowControl/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注：1.报价应是最终用户验收合格后的总价。</w:t>
      </w:r>
    </w:p>
    <w:p>
      <w:pPr>
        <w:widowControl/>
        <w:wordWrap w:val="0"/>
        <w:jc w:val="center"/>
        <w:rPr>
          <w:rFonts w:ascii="宋体" w:hAnsi="宋体" w:cs="Segoe UI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75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2022-04-14T02:43:01Z</dcterms:created>
  <dc:creator>lenovo</dc:creator>
  <cp:lastModifiedBy>lenovo</cp:lastModifiedBy>
  <dcterms:modified xsi:type="dcterms:W3CDTF">2022-04-14T02:43:08Z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238BBB870AE8403DB7E399C7301124CF</vt:lpwstr>
  </property>
</Properties>
</file>