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附件1：采购项目配置需求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eastAsia="zh-CN"/>
          <w14:textFill>
            <w14:solidFill>
              <w14:schemeClr w14:val="tx1"/>
            </w14:solidFill>
          </w14:textFill>
        </w:rPr>
      </w:pPr>
      <w:r>
        <w:rPr>
          <w:rFonts w:hint="eastAsia" w:ascii="仿宋" w:hAnsi="仿宋" w:eastAsia="仿宋" w:cs="Segoe UI"/>
          <w:color w:val="000000" w:themeColor="text1"/>
          <w:spacing w:val="8"/>
          <w:kern w:val="0"/>
          <w:sz w:val="32"/>
          <w:szCs w:val="32"/>
          <w14:textFill>
            <w14:solidFill>
              <w14:schemeClr w14:val="tx1"/>
            </w14:solidFill>
          </w14:textFill>
        </w:rPr>
        <w:t>1.产品名称：</w:t>
      </w: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血气测试卡</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14:textFill>
            <w14:solidFill>
              <w14:schemeClr w14:val="tx1"/>
            </w14:solidFill>
          </w14:textFill>
        </w:rPr>
      </w:pPr>
      <w:r>
        <w:rPr>
          <w:rFonts w:hint="eastAsia" w:ascii="仿宋" w:hAnsi="仿宋" w:eastAsia="仿宋" w:cs="Segoe UI"/>
          <w:color w:val="000000" w:themeColor="text1"/>
          <w:spacing w:val="8"/>
          <w:kern w:val="0"/>
          <w:sz w:val="32"/>
          <w:szCs w:val="32"/>
          <w14:textFill>
            <w14:solidFill>
              <w14:schemeClr w14:val="tx1"/>
            </w14:solidFill>
          </w14:textFill>
        </w:rPr>
        <w:t>2.数量：详见产品预计年采购数量</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3.采购预算金额：10万元/年</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8"/>
          <w:szCs w:val="28"/>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4</w:t>
      </w:r>
      <w:r>
        <w:rPr>
          <w:rFonts w:hint="eastAsia" w:ascii="仿宋" w:hAnsi="仿宋" w:eastAsia="仿宋" w:cs="Segoe UI"/>
          <w:color w:val="000000" w:themeColor="text1"/>
          <w:spacing w:val="8"/>
          <w:kern w:val="0"/>
          <w:sz w:val="32"/>
          <w:szCs w:val="32"/>
          <w14:textFill>
            <w14:solidFill>
              <w14:schemeClr w14:val="tx1"/>
            </w14:solidFill>
          </w14:textFill>
        </w:rPr>
        <w:t>.技术参数要求：</w:t>
      </w:r>
    </w:p>
    <w:tbl>
      <w:tblPr>
        <w:tblStyle w:val="8"/>
        <w:tblW w:w="5231" w:type="pct"/>
        <w:tblInd w:w="0" w:type="dxa"/>
        <w:tblLayout w:type="autofit"/>
        <w:tblCellMar>
          <w:top w:w="0" w:type="dxa"/>
          <w:left w:w="0" w:type="dxa"/>
          <w:bottom w:w="0" w:type="dxa"/>
          <w:right w:w="0" w:type="dxa"/>
        </w:tblCellMar>
      </w:tblPr>
      <w:tblGrid>
        <w:gridCol w:w="654"/>
        <w:gridCol w:w="1432"/>
        <w:gridCol w:w="1717"/>
        <w:gridCol w:w="6511"/>
      </w:tblGrid>
      <w:tr>
        <w:tblPrEx>
          <w:tblCellMar>
            <w:top w:w="0" w:type="dxa"/>
            <w:left w:w="0" w:type="dxa"/>
            <w:bottom w:w="0" w:type="dxa"/>
            <w:right w:w="0" w:type="dxa"/>
          </w:tblCellMar>
        </w:tblPrEx>
        <w:trPr>
          <w:trHeight w:val="712" w:hRule="atLeast"/>
        </w:trPr>
        <w:tc>
          <w:tcPr>
            <w:tcW w:w="317" w:type="pct"/>
            <w:tcBorders>
              <w:top w:val="single" w:color="000000" w:sz="4" w:space="0"/>
              <w:left w:val="single" w:color="000000" w:sz="4" w:space="0"/>
              <w:bottom w:val="single" w:color="auto" w:sz="4" w:space="0"/>
              <w:right w:val="single" w:color="000000" w:sz="4" w:space="0"/>
            </w:tcBorders>
            <w:vAlign w:val="center"/>
          </w:tcPr>
          <w:p>
            <w:pPr>
              <w:autoSpaceDE w:val="0"/>
              <w:autoSpaceDN w:val="0"/>
              <w:jc w:val="center"/>
              <w:rPr>
                <w:rFonts w:hint="eastAsia" w:ascii="黑体" w:hAnsi="黑体" w:eastAsia="黑体" w:cs="黑体"/>
                <w:b w:val="0"/>
                <w:bCs/>
                <w:color w:val="000000" w:themeColor="text1"/>
                <w:spacing w:val="8"/>
                <w:kern w:val="0"/>
                <w:sz w:val="28"/>
                <w:szCs w:val="28"/>
                <w14:textFill>
                  <w14:solidFill>
                    <w14:schemeClr w14:val="tx1"/>
                  </w14:solidFill>
                </w14:textFill>
              </w:rPr>
            </w:pPr>
            <w:r>
              <w:rPr>
                <w:rFonts w:hint="eastAsia" w:ascii="黑体" w:hAnsi="黑体" w:eastAsia="黑体" w:cs="黑体"/>
                <w:b w:val="0"/>
                <w:bCs/>
                <w:color w:val="000000" w:themeColor="text1"/>
                <w:spacing w:val="8"/>
                <w:kern w:val="0"/>
                <w:sz w:val="28"/>
                <w:szCs w:val="28"/>
                <w14:textFill>
                  <w14:solidFill>
                    <w14:schemeClr w14:val="tx1"/>
                  </w14:solidFill>
                </w14:textFill>
              </w:rPr>
              <w:t>序号</w:t>
            </w:r>
          </w:p>
        </w:tc>
        <w:tc>
          <w:tcPr>
            <w:tcW w:w="694"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8"/>
                <w:szCs w:val="28"/>
                <w14:textFill>
                  <w14:solidFill>
                    <w14:schemeClr w14:val="tx1"/>
                  </w14:solidFill>
                </w14:textFill>
              </w:rPr>
            </w:pPr>
            <w:r>
              <w:rPr>
                <w:rFonts w:hint="eastAsia" w:ascii="黑体" w:hAnsi="黑体" w:eastAsia="黑体" w:cs="黑体"/>
                <w:b w:val="0"/>
                <w:bCs/>
                <w:color w:val="000000" w:themeColor="text1"/>
                <w:spacing w:val="8"/>
                <w:kern w:val="0"/>
                <w:sz w:val="28"/>
                <w:szCs w:val="28"/>
                <w14:textFill>
                  <w14:solidFill>
                    <w14:schemeClr w14:val="tx1"/>
                  </w14:solidFill>
                </w14:textFill>
              </w:rPr>
              <w:t>产品名称</w:t>
            </w:r>
          </w:p>
        </w:tc>
        <w:tc>
          <w:tcPr>
            <w:tcW w:w="832"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8"/>
                <w:szCs w:val="28"/>
                <w:lang w:eastAsia="zh-CN"/>
                <w14:textFill>
                  <w14:solidFill>
                    <w14:schemeClr w14:val="tx1"/>
                  </w14:solidFill>
                </w14:textFill>
              </w:rPr>
            </w:pPr>
            <w:r>
              <w:rPr>
                <w:rFonts w:hint="eastAsia" w:ascii="黑体" w:hAnsi="黑体" w:eastAsia="黑体" w:cs="黑体"/>
                <w:b w:val="0"/>
                <w:bCs/>
                <w:sz w:val="28"/>
                <w:szCs w:val="28"/>
                <w:highlight w:val="none"/>
              </w:rPr>
              <w:t>年度预计用量</w:t>
            </w:r>
            <w:r>
              <w:rPr>
                <w:rFonts w:hint="eastAsia" w:ascii="黑体" w:hAnsi="黑体" w:eastAsia="黑体" w:cs="黑体"/>
                <w:b w:val="0"/>
                <w:bCs/>
                <w:sz w:val="28"/>
                <w:szCs w:val="28"/>
                <w:highlight w:val="none"/>
                <w:lang w:eastAsia="zh-CN"/>
              </w:rPr>
              <w:t>（</w:t>
            </w:r>
            <w:r>
              <w:rPr>
                <w:rFonts w:hint="eastAsia" w:ascii="黑体" w:hAnsi="黑体" w:eastAsia="黑体" w:cs="黑体"/>
                <w:b w:val="0"/>
                <w:bCs/>
                <w:sz w:val="28"/>
                <w:szCs w:val="28"/>
                <w:highlight w:val="none"/>
                <w:lang w:val="en-US" w:eastAsia="zh-CN"/>
              </w:rPr>
              <w:t>人份</w:t>
            </w:r>
            <w:r>
              <w:rPr>
                <w:rFonts w:hint="eastAsia" w:ascii="黑体" w:hAnsi="黑体" w:eastAsia="黑体" w:cs="黑体"/>
                <w:b w:val="0"/>
                <w:bCs/>
                <w:sz w:val="28"/>
                <w:szCs w:val="28"/>
                <w:highlight w:val="none"/>
                <w:lang w:eastAsia="zh-CN"/>
              </w:rPr>
              <w:t>）</w:t>
            </w:r>
          </w:p>
        </w:tc>
        <w:tc>
          <w:tcPr>
            <w:tcW w:w="3156" w:type="pct"/>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黑体" w:hAnsi="黑体" w:eastAsia="黑体" w:cs="黑体"/>
                <w:b w:val="0"/>
                <w:bCs/>
                <w:color w:val="000000" w:themeColor="text1"/>
                <w:spacing w:val="8"/>
                <w:kern w:val="0"/>
                <w:sz w:val="28"/>
                <w:szCs w:val="28"/>
                <w14:textFill>
                  <w14:solidFill>
                    <w14:schemeClr w14:val="tx1"/>
                  </w14:solidFill>
                </w14:textFill>
              </w:rPr>
            </w:pPr>
            <w:r>
              <w:rPr>
                <w:rFonts w:hint="eastAsia" w:ascii="黑体" w:hAnsi="黑体" w:eastAsia="黑体" w:cs="黑体"/>
                <w:b w:val="0"/>
                <w:bCs/>
                <w:color w:val="000000" w:themeColor="text1"/>
                <w:spacing w:val="8"/>
                <w:kern w:val="0"/>
                <w:sz w:val="28"/>
                <w:szCs w:val="28"/>
                <w14:textFill>
                  <w14:solidFill>
                    <w14:schemeClr w14:val="tx1"/>
                  </w14:solidFill>
                </w14:textFill>
              </w:rPr>
              <w:t>技术参数</w:t>
            </w:r>
          </w:p>
        </w:tc>
      </w:tr>
      <w:tr>
        <w:tblPrEx>
          <w:tblCellMar>
            <w:top w:w="0" w:type="dxa"/>
            <w:left w:w="0" w:type="dxa"/>
            <w:bottom w:w="0" w:type="dxa"/>
            <w:right w:w="0" w:type="dxa"/>
          </w:tblCellMar>
        </w:tblPrEx>
        <w:trPr>
          <w:trHeight w:val="5362"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8"/>
                <w:kern w:val="0"/>
                <w:sz w:val="28"/>
                <w:szCs w:val="28"/>
                <w14:textFill>
                  <w14:solidFill>
                    <w14:schemeClr w14:val="tx1"/>
                  </w14:solidFill>
                </w14:textFill>
              </w:rPr>
            </w:pPr>
            <w:r>
              <w:rPr>
                <w:rFonts w:hint="eastAsia" w:ascii="仿宋_GB2312" w:hAnsi="仿宋_GB2312" w:eastAsia="仿宋_GB2312" w:cs="仿宋_GB2312"/>
                <w:color w:val="000000" w:themeColor="text1"/>
                <w:spacing w:val="8"/>
                <w:kern w:val="0"/>
                <w:sz w:val="28"/>
                <w:szCs w:val="28"/>
                <w14:textFill>
                  <w14:solidFill>
                    <w14:schemeClr w14:val="tx1"/>
                  </w14:solidFill>
                </w14:textFill>
              </w:rPr>
              <w:t>1</w:t>
            </w:r>
          </w:p>
        </w:tc>
        <w:tc>
          <w:tcPr>
            <w:tcW w:w="69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血气测试卡</w:t>
            </w:r>
          </w:p>
        </w:tc>
        <w:tc>
          <w:tcPr>
            <w:tcW w:w="83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00</w:t>
            </w:r>
          </w:p>
        </w:tc>
        <w:tc>
          <w:tcPr>
            <w:tcW w:w="315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1.原理：干式电化学法、生物电极法，微流体技术。</w:t>
            </w:r>
          </w:p>
          <w:p>
            <w:pPr>
              <w:spacing w:line="276" w:lineRule="auto"/>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提供</w:t>
            </w:r>
            <w:r>
              <w:rPr>
                <w:rFonts w:hint="eastAsia" w:ascii="仿宋_GB2312" w:hAnsi="仿宋_GB2312" w:eastAsia="仿宋_GB2312" w:cs="仿宋_GB2312"/>
                <w:color w:val="000000"/>
                <w:kern w:val="0"/>
                <w:sz w:val="28"/>
                <w:szCs w:val="28"/>
              </w:rPr>
              <w:t>多种包装规格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必须提供</w:t>
            </w:r>
            <w:r>
              <w:rPr>
                <w:rFonts w:hint="eastAsia" w:ascii="仿宋_GB2312" w:hAnsi="仿宋_GB2312" w:eastAsia="仿宋_GB2312" w:cs="仿宋_GB2312"/>
                <w:color w:val="000000"/>
                <w:kern w:val="0"/>
                <w:sz w:val="28"/>
                <w:szCs w:val="28"/>
              </w:rPr>
              <w:t>单测试包装</w:t>
            </w:r>
            <w:r>
              <w:rPr>
                <w:rFonts w:hint="eastAsia" w:ascii="仿宋_GB2312" w:hAnsi="仿宋_GB2312" w:eastAsia="仿宋_GB2312" w:cs="仿宋_GB2312"/>
                <w:color w:val="000000"/>
                <w:kern w:val="0"/>
                <w:sz w:val="28"/>
                <w:szCs w:val="28"/>
                <w:lang w:eastAsia="zh-CN"/>
              </w:rPr>
              <w:t>）。</w:t>
            </w:r>
          </w:p>
          <w:p>
            <w:pPr>
              <w:spacing w:line="276"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3.每次检测前自动进行定标校准。</w:t>
            </w:r>
          </w:p>
          <w:p>
            <w:pPr>
              <w:spacing w:line="276"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4.可采用样品类型：动脉血、静脉血、毛细管血，无需对血样进行预处理。</w:t>
            </w:r>
          </w:p>
          <w:p>
            <w:pPr>
              <w:spacing w:line="276" w:lineRule="auto"/>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5.实际检测的参数包括酸碱度(pH)、二氧化碳分压(pCO</w:t>
            </w:r>
            <w:r>
              <w:rPr>
                <w:rFonts w:hint="eastAsia" w:ascii="仿宋_GB2312" w:hAnsi="仿宋_GB2312" w:eastAsia="仿宋_GB2312" w:cs="仿宋_GB2312"/>
                <w:color w:val="000000"/>
                <w:kern w:val="0"/>
                <w:sz w:val="28"/>
                <w:szCs w:val="28"/>
                <w:vertAlign w:val="subscript"/>
              </w:rPr>
              <w:t>2</w:t>
            </w:r>
            <w:r>
              <w:rPr>
                <w:rFonts w:hint="eastAsia" w:ascii="仿宋_GB2312" w:hAnsi="仿宋_GB2312" w:eastAsia="仿宋_GB2312" w:cs="仿宋_GB2312"/>
                <w:color w:val="000000"/>
                <w:kern w:val="0"/>
                <w:sz w:val="28"/>
                <w:szCs w:val="28"/>
              </w:rPr>
              <w:t>)、氧分压(pO</w:t>
            </w:r>
            <w:r>
              <w:rPr>
                <w:rFonts w:hint="eastAsia" w:ascii="仿宋_GB2312" w:hAnsi="仿宋_GB2312" w:eastAsia="仿宋_GB2312" w:cs="仿宋_GB2312"/>
                <w:color w:val="000000"/>
                <w:kern w:val="0"/>
                <w:sz w:val="28"/>
                <w:szCs w:val="28"/>
                <w:vertAlign w:val="subscript"/>
              </w:rPr>
              <w:t>2</w:t>
            </w:r>
            <w:r>
              <w:rPr>
                <w:rFonts w:hint="eastAsia" w:ascii="仿宋_GB2312" w:hAnsi="仿宋_GB2312" w:eastAsia="仿宋_GB2312" w:cs="仿宋_GB2312"/>
                <w:color w:val="000000"/>
                <w:kern w:val="0"/>
                <w:sz w:val="28"/>
                <w:szCs w:val="28"/>
              </w:rPr>
              <w:t>)、钠(Na</w:t>
            </w:r>
            <w:r>
              <w:rPr>
                <w:rFonts w:hint="eastAsia" w:ascii="仿宋_GB2312" w:hAnsi="仿宋_GB2312" w:eastAsia="仿宋_GB2312" w:cs="仿宋_GB2312"/>
                <w:color w:val="000000"/>
                <w:kern w:val="0"/>
                <w:sz w:val="28"/>
                <w:szCs w:val="28"/>
                <w:vertAlign w:val="superscript"/>
              </w:rPr>
              <w:t>+</w:t>
            </w:r>
            <w:r>
              <w:rPr>
                <w:rFonts w:hint="eastAsia" w:ascii="仿宋_GB2312" w:hAnsi="仿宋_GB2312" w:eastAsia="仿宋_GB2312" w:cs="仿宋_GB2312"/>
                <w:color w:val="000000"/>
                <w:kern w:val="0"/>
                <w:sz w:val="28"/>
                <w:szCs w:val="28"/>
              </w:rPr>
              <w:t>)、钾(K</w:t>
            </w:r>
            <w:r>
              <w:rPr>
                <w:rFonts w:hint="eastAsia" w:ascii="仿宋_GB2312" w:hAnsi="仿宋_GB2312" w:eastAsia="仿宋_GB2312" w:cs="仿宋_GB2312"/>
                <w:color w:val="000000"/>
                <w:kern w:val="0"/>
                <w:sz w:val="28"/>
                <w:szCs w:val="28"/>
                <w:vertAlign w:val="superscript"/>
              </w:rPr>
              <w:t>+</w:t>
            </w:r>
            <w:r>
              <w:rPr>
                <w:rFonts w:hint="eastAsia" w:ascii="仿宋_GB2312" w:hAnsi="仿宋_GB2312" w:eastAsia="仿宋_GB2312" w:cs="仿宋_GB2312"/>
                <w:color w:val="000000"/>
                <w:kern w:val="0"/>
                <w:sz w:val="28"/>
                <w:szCs w:val="28"/>
              </w:rPr>
              <w:t>)、钙离子(Ca</w:t>
            </w:r>
            <w:r>
              <w:rPr>
                <w:rFonts w:hint="eastAsia" w:ascii="仿宋_GB2312" w:hAnsi="仿宋_GB2312" w:eastAsia="仿宋_GB2312" w:cs="仿宋_GB2312"/>
                <w:color w:val="000000"/>
                <w:kern w:val="0"/>
                <w:sz w:val="28"/>
                <w:szCs w:val="28"/>
                <w:vertAlign w:val="superscript"/>
              </w:rPr>
              <w:t>2+</w:t>
            </w:r>
            <w:r>
              <w:rPr>
                <w:rFonts w:hint="eastAsia" w:ascii="仿宋_GB2312" w:hAnsi="仿宋_GB2312" w:eastAsia="仿宋_GB2312" w:cs="仿宋_GB2312"/>
                <w:color w:val="000000"/>
                <w:kern w:val="0"/>
                <w:sz w:val="28"/>
                <w:szCs w:val="28"/>
              </w:rPr>
              <w:t>)、氯离子(Cl</w:t>
            </w:r>
            <w:r>
              <w:rPr>
                <w:rFonts w:hint="eastAsia" w:ascii="仿宋_GB2312" w:hAnsi="仿宋_GB2312" w:eastAsia="仿宋_GB2312" w:cs="仿宋_GB2312"/>
                <w:color w:val="000000"/>
                <w:kern w:val="0"/>
                <w:sz w:val="28"/>
                <w:szCs w:val="28"/>
                <w:vertAlign w:val="superscript"/>
              </w:rPr>
              <w:t>-</w:t>
            </w:r>
            <w:r>
              <w:rPr>
                <w:rFonts w:hint="eastAsia" w:ascii="仿宋_GB2312" w:hAnsi="仿宋_GB2312" w:eastAsia="仿宋_GB2312" w:cs="仿宋_GB2312"/>
                <w:color w:val="000000"/>
                <w:kern w:val="0"/>
                <w:sz w:val="28"/>
                <w:szCs w:val="28"/>
              </w:rPr>
              <w:t>)、血糖(Glu)、乳酸(Lac)、肌酐(Crea）、</w:t>
            </w:r>
            <w:r>
              <w:rPr>
                <w:rFonts w:hint="eastAsia" w:ascii="仿宋_GB2312" w:hAnsi="仿宋_GB2312" w:eastAsia="仿宋_GB2312" w:cs="仿宋_GB2312"/>
                <w:color w:val="000000"/>
                <w:kern w:val="0"/>
                <w:sz w:val="28"/>
                <w:szCs w:val="28"/>
                <w:highlight w:val="none"/>
              </w:rPr>
              <w:t>血细胞比容(Hct)</w:t>
            </w:r>
            <w:r>
              <w:rPr>
                <w:rFonts w:hint="eastAsia" w:ascii="仿宋_GB2312" w:hAnsi="仿宋_GB2312" w:eastAsia="仿宋_GB2312" w:cs="仿宋_GB2312"/>
                <w:color w:val="000000"/>
                <w:kern w:val="0"/>
                <w:sz w:val="28"/>
                <w:szCs w:val="28"/>
                <w:highlight w:val="none"/>
                <w:lang w:val="en-US" w:eastAsia="zh-CN"/>
              </w:rPr>
              <w:t>和</w:t>
            </w:r>
            <w:r>
              <w:rPr>
                <w:rFonts w:hint="eastAsia" w:ascii="仿宋_GB2312" w:hAnsi="仿宋_GB2312" w:eastAsia="仿宋_GB2312" w:cs="仿宋_GB2312"/>
                <w:color w:val="000000"/>
                <w:kern w:val="0"/>
                <w:sz w:val="28"/>
                <w:szCs w:val="28"/>
                <w:highlight w:val="none"/>
              </w:rPr>
              <w:t>血红蛋白（Hgb）</w:t>
            </w:r>
            <w:r>
              <w:rPr>
                <w:rFonts w:hint="eastAsia" w:ascii="仿宋_GB2312" w:hAnsi="仿宋_GB2312" w:eastAsia="仿宋_GB2312" w:cs="仿宋_GB2312"/>
                <w:color w:val="000000"/>
                <w:kern w:val="0"/>
                <w:sz w:val="28"/>
                <w:szCs w:val="28"/>
                <w:highlight w:val="none"/>
                <w:lang w:val="en-US" w:eastAsia="zh-CN"/>
              </w:rPr>
              <w:t>等</w:t>
            </w:r>
            <w:r>
              <w:rPr>
                <w:rFonts w:hint="eastAsia" w:ascii="仿宋_GB2312" w:hAnsi="仿宋_GB2312" w:eastAsia="仿宋_GB2312" w:cs="仿宋_GB2312"/>
                <w:color w:val="000000"/>
                <w:kern w:val="0"/>
                <w:sz w:val="28"/>
                <w:szCs w:val="28"/>
                <w:highlight w:val="none"/>
                <w:lang w:eastAsia="zh-CN"/>
              </w:rPr>
              <w:t>。</w:t>
            </w:r>
          </w:p>
          <w:p>
            <w:pPr>
              <w:spacing w:line="276" w:lineRule="auto"/>
              <w:jc w:val="left"/>
              <w:rPr>
                <w:rFonts w:hint="eastAsia" w:ascii="仿宋_GB2312" w:hAnsi="仿宋_GB2312" w:eastAsia="仿宋_GB2312" w:cs="仿宋_GB2312"/>
                <w:b/>
                <w:color w:val="FF0000"/>
                <w:kern w:val="0"/>
                <w:sz w:val="28"/>
                <w:szCs w:val="28"/>
              </w:rPr>
            </w:pPr>
            <w:r>
              <w:rPr>
                <w:rFonts w:hint="eastAsia" w:ascii="仿宋_GB2312" w:hAnsi="仿宋_GB2312" w:eastAsia="仿宋_GB2312" w:cs="仿宋_GB2312"/>
                <w:color w:val="000000"/>
                <w:kern w:val="0"/>
                <w:sz w:val="28"/>
                <w:szCs w:val="28"/>
              </w:rPr>
              <w:t>6.样品量≤100ul</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加样后检测时间≤2分钟。</w:t>
            </w:r>
          </w:p>
          <w:p>
            <w:pPr>
              <w:spacing w:line="276"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7.常温储存（15-30℃），无需冷藏和复温</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有效期≥150天。</w:t>
            </w:r>
          </w:p>
          <w:p>
            <w:pPr>
              <w:pStyle w:val="14"/>
              <w:numPr>
                <w:ilvl w:val="255"/>
                <w:numId w:val="0"/>
              </w:num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.提供原厂配套质控品。</w:t>
            </w:r>
          </w:p>
          <w:p>
            <w:pPr>
              <w:spacing w:line="276" w:lineRule="auto"/>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.质量保证：同时具有中国NMPA/CFDA认证、欧洲CE认证、美国FDA认证。</w:t>
            </w:r>
          </w:p>
        </w:tc>
      </w:tr>
    </w:tbl>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left"/>
        <w:textAlignment w:val="auto"/>
        <w:rPr>
          <w:rFonts w:hint="eastAsia" w:ascii="仿宋" w:hAnsi="仿宋" w:eastAsia="仿宋" w:cs="Segoe UI"/>
          <w:color w:val="000000" w:themeColor="text1"/>
          <w:spacing w:val="8"/>
          <w:kern w:val="0"/>
          <w:sz w:val="32"/>
          <w:szCs w:val="32"/>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5</w:t>
      </w:r>
      <w:r>
        <w:rPr>
          <w:rFonts w:hint="eastAsia" w:ascii="仿宋" w:hAnsi="仿宋" w:eastAsia="仿宋" w:cs="Segoe UI"/>
          <w:color w:val="000000" w:themeColor="text1"/>
          <w:spacing w:val="8"/>
          <w:kern w:val="0"/>
          <w:sz w:val="32"/>
          <w:szCs w:val="32"/>
          <w14:textFill>
            <w14:solidFill>
              <w14:schemeClr w14:val="tx1"/>
            </w14:solidFill>
          </w14:textFill>
        </w:rPr>
        <w:t>.商务要求：</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222222"/>
          <w:sz w:val="28"/>
          <w:szCs w:val="28"/>
          <w:shd w:val="clear" w:color="auto" w:fill="FFFFFF"/>
        </w:rPr>
        <w:t>▲</w:t>
      </w:r>
      <w:r>
        <w:rPr>
          <w:rFonts w:hint="eastAsia" w:ascii="仿宋_GB2312" w:hAnsi="仿宋_GB2312" w:eastAsia="仿宋_GB2312" w:cs="仿宋_GB2312"/>
          <w:color w:val="333333"/>
          <w:spacing w:val="8"/>
          <w:kern w:val="0"/>
          <w:sz w:val="28"/>
          <w:szCs w:val="28"/>
        </w:rPr>
        <w:t>1.供应商投标血气测试卡片必须具备医疗器械注册证或医疗器械备案凭证,且必须为</w:t>
      </w:r>
      <w:r>
        <w:rPr>
          <w:rFonts w:hint="eastAsia" w:ascii="仿宋_GB2312" w:hAnsi="仿宋_GB2312" w:eastAsia="仿宋_GB2312" w:cs="仿宋_GB2312"/>
          <w:b/>
          <w:color w:val="333333"/>
          <w:spacing w:val="8"/>
          <w:kern w:val="0"/>
          <w:sz w:val="28"/>
          <w:szCs w:val="28"/>
        </w:rPr>
        <w:t>四川省药械集中采购及价格监管平台挂网公示产品</w:t>
      </w:r>
      <w:r>
        <w:rPr>
          <w:rFonts w:hint="eastAsia" w:ascii="仿宋_GB2312" w:hAnsi="仿宋_GB2312" w:eastAsia="仿宋_GB2312" w:cs="仿宋_GB2312"/>
          <w:color w:val="333333"/>
          <w:spacing w:val="8"/>
          <w:kern w:val="0"/>
          <w:sz w:val="28"/>
          <w:szCs w:val="28"/>
          <w:lang w:eastAsia="zh-CN"/>
        </w:rPr>
        <w:t>，</w:t>
      </w:r>
      <w:r>
        <w:rPr>
          <w:rFonts w:hint="eastAsia" w:ascii="仿宋_GB2312" w:hAnsi="仿宋_GB2312" w:eastAsia="仿宋_GB2312" w:cs="仿宋_GB2312"/>
          <w:color w:val="333333"/>
          <w:spacing w:val="8"/>
          <w:kern w:val="0"/>
          <w:sz w:val="28"/>
          <w:szCs w:val="28"/>
        </w:rPr>
        <w:t>提供产品挂网商品代码；</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222222"/>
          <w:sz w:val="28"/>
          <w:szCs w:val="28"/>
          <w:shd w:val="clear" w:color="auto" w:fill="FFFFFF"/>
        </w:rPr>
        <w:t>▲</w:t>
      </w:r>
      <w:r>
        <w:rPr>
          <w:rFonts w:hint="eastAsia" w:ascii="仿宋_GB2312" w:hAnsi="仿宋_GB2312" w:eastAsia="仿宋_GB2312" w:cs="仿宋_GB2312"/>
          <w:color w:val="333333"/>
          <w:spacing w:val="8"/>
          <w:kern w:val="0"/>
          <w:sz w:val="28"/>
          <w:szCs w:val="28"/>
        </w:rPr>
        <w:t>2.中标供应商在合同期内配置与投标试剂耗材产品适配的检验仪器：</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t>配置数量：配置</w:t>
      </w:r>
      <w:r>
        <w:rPr>
          <w:rFonts w:hint="eastAsia" w:ascii="仿宋_GB2312" w:hAnsi="仿宋_GB2312" w:eastAsia="仿宋_GB2312" w:cs="仿宋_GB2312"/>
          <w:b/>
          <w:bCs/>
          <w:color w:val="333333"/>
          <w:spacing w:val="8"/>
          <w:kern w:val="0"/>
          <w:sz w:val="28"/>
          <w:szCs w:val="28"/>
          <w:highlight w:val="none"/>
          <w:lang w:val="en-US" w:eastAsia="zh-CN"/>
        </w:rPr>
        <w:t>7</w:t>
      </w:r>
      <w:r>
        <w:rPr>
          <w:rFonts w:hint="eastAsia" w:ascii="仿宋_GB2312" w:hAnsi="仿宋_GB2312" w:eastAsia="仿宋_GB2312" w:cs="仿宋_GB2312"/>
          <w:b/>
          <w:bCs/>
          <w:color w:val="333333"/>
          <w:spacing w:val="8"/>
          <w:kern w:val="0"/>
          <w:sz w:val="28"/>
          <w:szCs w:val="28"/>
          <w:highlight w:val="none"/>
        </w:rPr>
        <w:t>套</w:t>
      </w:r>
      <w:r>
        <w:rPr>
          <w:rFonts w:hint="eastAsia" w:ascii="仿宋_GB2312" w:hAnsi="仿宋_GB2312" w:eastAsia="仿宋_GB2312" w:cs="仿宋_GB2312"/>
          <w:color w:val="333333"/>
          <w:spacing w:val="8"/>
          <w:kern w:val="0"/>
          <w:sz w:val="28"/>
          <w:szCs w:val="28"/>
        </w:rPr>
        <w:t>检测设备，分别用于院本部门诊（晋阳）及天府院区；</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t>维护保养：供应商承担检验仪器的维护保养及检修费用；</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t>信息系统：供应商承担检验仪器与医院相关信息系统（如Lis系统）做接口产生的相关费用。</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t>备注：</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lang w:val="en-US" w:eastAsia="zh-CN"/>
        </w:rPr>
        <w:t>1.</w:t>
      </w:r>
      <w:r>
        <w:rPr>
          <w:rFonts w:hint="eastAsia" w:ascii="仿宋_GB2312" w:hAnsi="仿宋_GB2312" w:eastAsia="仿宋_GB2312" w:cs="仿宋_GB2312"/>
          <w:color w:val="222222"/>
          <w:sz w:val="28"/>
          <w:szCs w:val="28"/>
          <w:shd w:val="clear" w:color="auto" w:fill="FFFFFF"/>
        </w:rPr>
        <w:t>▲</w:t>
      </w:r>
      <w:r>
        <w:rPr>
          <w:rFonts w:hint="eastAsia" w:ascii="仿宋_GB2312" w:hAnsi="仿宋_GB2312" w:eastAsia="仿宋_GB2312" w:cs="仿宋_GB2312"/>
          <w:color w:val="333333"/>
          <w:spacing w:val="8"/>
          <w:kern w:val="0"/>
          <w:sz w:val="28"/>
          <w:szCs w:val="28"/>
        </w:rPr>
        <w:t>条款为本次招标项目的实质性要求，不允许有负偏离。</w:t>
      </w:r>
    </w:p>
    <w:p>
      <w:pPr>
        <w:keepNext w:val="0"/>
        <w:keepLines w:val="0"/>
        <w:pageBreakBefore w:val="0"/>
        <w:widowControl/>
        <w:shd w:val="clear" w:color="auto" w:fill="FFFFFF"/>
        <w:kinsoku/>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rPr>
      </w:pPr>
      <w:r>
        <w:rPr>
          <w:rFonts w:hint="eastAsia" w:ascii="仿宋_GB2312" w:hAnsi="仿宋_GB2312" w:eastAsia="仿宋_GB2312" w:cs="仿宋_GB2312"/>
          <w:b/>
          <w:bCs/>
          <w:color w:val="auto"/>
          <w:spacing w:val="8"/>
          <w:kern w:val="0"/>
          <w:sz w:val="28"/>
          <w:szCs w:val="28"/>
          <w:lang w:val="en-US" w:eastAsia="zh-CN"/>
        </w:rPr>
        <w:t>2.</w:t>
      </w:r>
      <w:r>
        <w:rPr>
          <w:rFonts w:hint="eastAsia" w:ascii="仿宋_GB2312" w:hAnsi="仿宋_GB2312" w:eastAsia="仿宋_GB2312" w:cs="仿宋_GB2312"/>
          <w:b/>
          <w:bCs/>
          <w:color w:val="auto"/>
          <w:spacing w:val="8"/>
          <w:kern w:val="0"/>
          <w:sz w:val="28"/>
          <w:szCs w:val="28"/>
        </w:rPr>
        <w:t>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lang w:val="en-US" w:eastAsia="zh-CN"/>
        </w:rPr>
      </w:pPr>
      <w:r>
        <w:rPr>
          <w:rFonts w:hint="eastAsia" w:ascii="仿宋_GB2312" w:hAnsi="仿宋_GB2312" w:eastAsia="仿宋_GB2312" w:cs="仿宋_GB2312"/>
          <w:b/>
          <w:bCs/>
          <w:color w:val="auto"/>
          <w:spacing w:val="8"/>
          <w:kern w:val="0"/>
          <w:sz w:val="28"/>
          <w:szCs w:val="28"/>
          <w:lang w:val="en-US" w:eastAsia="zh-CN"/>
        </w:rPr>
        <w:t>3.超过采购预算金额的报价为无效报价。</w:t>
      </w:r>
    </w:p>
    <w:p>
      <w:pPr>
        <w:keepNext w:val="0"/>
        <w:keepLines w:val="0"/>
        <w:pageBreakBefore w:val="0"/>
        <w:widowControl/>
        <w:shd w:val="clear" w:color="auto" w:fill="FFFFFF"/>
        <w:kinsoku/>
        <w:overflowPunct/>
        <w:topLinePunct w:val="0"/>
        <w:autoSpaceDE/>
        <w:autoSpaceDN/>
        <w:bidi w:val="0"/>
        <w:adjustRightInd/>
        <w:snapToGrid/>
        <w:spacing w:line="420" w:lineRule="exact"/>
        <w:jc w:val="both"/>
        <w:textAlignment w:val="auto"/>
        <w:rPr>
          <w:rFonts w:hint="default" w:ascii="仿宋_GB2312" w:hAnsi="仿宋_GB2312" w:eastAsia="仿宋_GB2312" w:cs="仿宋_GB2312"/>
          <w:b/>
          <w:bCs/>
          <w:color w:val="auto"/>
          <w:spacing w:val="8"/>
          <w:kern w:val="0"/>
          <w:sz w:val="24"/>
          <w:szCs w:val="24"/>
          <w:lang w:val="en-US" w:eastAsia="zh-CN"/>
        </w:rPr>
      </w:pPr>
    </w:p>
    <w:p>
      <w:pPr>
        <w:widowControl/>
        <w:spacing w:line="360" w:lineRule="auto"/>
        <w:jc w:val="left"/>
        <w:rPr>
          <w:rFonts w:hint="eastAsia" w:ascii="黑体" w:hAnsi="黑体" w:eastAsia="黑体" w:cs="黑体"/>
          <w:b w:val="0"/>
          <w:bCs w:val="0"/>
          <w:kern w:val="0"/>
          <w:sz w:val="32"/>
          <w:szCs w:val="32"/>
        </w:rPr>
      </w:pPr>
      <w:bookmarkStart w:id="1" w:name="_GoBack"/>
      <w:bookmarkEnd w:id="1"/>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附件2：评审办法（综合评分明细表）</w:t>
      </w:r>
    </w:p>
    <w:tbl>
      <w:tblPr>
        <w:tblStyle w:val="8"/>
        <w:tblW w:w="52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07"/>
        <w:gridCol w:w="693"/>
        <w:gridCol w:w="432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23" w:type="pct"/>
            <w:vAlign w:val="center"/>
          </w:tcPr>
          <w:p>
            <w:pPr>
              <w:widowControl/>
              <w:wordWrap w:val="0"/>
              <w:spacing w:line="240" w:lineRule="atLeast"/>
              <w:jc w:val="center"/>
              <w:rPr>
                <w:rFonts w:hint="eastAsia" w:ascii="黑体" w:hAnsi="黑体" w:eastAsia="黑体" w:cs="黑体"/>
                <w:b w:val="0"/>
                <w:bCs/>
                <w:color w:val="333333"/>
                <w:kern w:val="0"/>
                <w:sz w:val="21"/>
                <w:szCs w:val="21"/>
              </w:rPr>
            </w:pPr>
            <w:r>
              <w:rPr>
                <w:rFonts w:hint="eastAsia" w:ascii="黑体" w:hAnsi="黑体" w:eastAsia="黑体" w:cs="黑体"/>
                <w:b w:val="0"/>
                <w:bCs/>
                <w:color w:val="333333"/>
                <w:kern w:val="0"/>
                <w:sz w:val="21"/>
                <w:szCs w:val="21"/>
              </w:rPr>
              <w:t>序号</w:t>
            </w:r>
          </w:p>
        </w:tc>
        <w:tc>
          <w:tcPr>
            <w:tcW w:w="620" w:type="pct"/>
            <w:vAlign w:val="center"/>
          </w:tcPr>
          <w:p>
            <w:pPr>
              <w:widowControl/>
              <w:spacing w:line="240" w:lineRule="atLeast"/>
              <w:jc w:val="center"/>
              <w:rPr>
                <w:rFonts w:hint="eastAsia" w:ascii="黑体" w:hAnsi="黑体" w:eastAsia="黑体" w:cs="黑体"/>
                <w:b w:val="0"/>
                <w:bCs/>
                <w:color w:val="333333"/>
                <w:kern w:val="0"/>
                <w:sz w:val="21"/>
                <w:szCs w:val="21"/>
              </w:rPr>
            </w:pPr>
            <w:r>
              <w:rPr>
                <w:rFonts w:hint="eastAsia" w:ascii="黑体" w:hAnsi="黑体" w:eastAsia="黑体" w:cs="黑体"/>
                <w:b w:val="0"/>
                <w:bCs/>
                <w:color w:val="333333"/>
                <w:kern w:val="0"/>
                <w:sz w:val="21"/>
                <w:szCs w:val="21"/>
              </w:rPr>
              <w:t>评分因素</w:t>
            </w:r>
          </w:p>
        </w:tc>
        <w:tc>
          <w:tcPr>
            <w:tcW w:w="329" w:type="pct"/>
            <w:vAlign w:val="center"/>
          </w:tcPr>
          <w:p>
            <w:pPr>
              <w:widowControl/>
              <w:wordWrap w:val="0"/>
              <w:spacing w:line="240" w:lineRule="atLeast"/>
              <w:jc w:val="center"/>
              <w:rPr>
                <w:rFonts w:hint="eastAsia" w:ascii="黑体" w:hAnsi="黑体" w:eastAsia="黑体" w:cs="黑体"/>
                <w:b w:val="0"/>
                <w:bCs/>
                <w:color w:val="333333"/>
                <w:kern w:val="0"/>
                <w:sz w:val="21"/>
                <w:szCs w:val="21"/>
              </w:rPr>
            </w:pPr>
            <w:r>
              <w:rPr>
                <w:rFonts w:hint="eastAsia" w:ascii="黑体" w:hAnsi="黑体" w:eastAsia="黑体" w:cs="黑体"/>
                <w:b w:val="0"/>
                <w:bCs/>
                <w:color w:val="333333"/>
                <w:kern w:val="0"/>
                <w:sz w:val="21"/>
                <w:szCs w:val="21"/>
              </w:rPr>
              <w:t>分值</w:t>
            </w:r>
          </w:p>
        </w:tc>
        <w:tc>
          <w:tcPr>
            <w:tcW w:w="2052" w:type="pct"/>
            <w:vAlign w:val="center"/>
          </w:tcPr>
          <w:p>
            <w:pPr>
              <w:widowControl/>
              <w:wordWrap w:val="0"/>
              <w:spacing w:line="240" w:lineRule="atLeast"/>
              <w:jc w:val="center"/>
              <w:rPr>
                <w:rFonts w:hint="eastAsia" w:ascii="黑体" w:hAnsi="黑体" w:eastAsia="黑体" w:cs="黑体"/>
                <w:b w:val="0"/>
                <w:bCs/>
                <w:color w:val="333333"/>
                <w:kern w:val="0"/>
                <w:sz w:val="21"/>
                <w:szCs w:val="21"/>
              </w:rPr>
            </w:pPr>
            <w:r>
              <w:rPr>
                <w:rFonts w:hint="eastAsia" w:ascii="黑体" w:hAnsi="黑体" w:eastAsia="黑体" w:cs="黑体"/>
                <w:b w:val="0"/>
                <w:bCs/>
                <w:color w:val="333333"/>
                <w:kern w:val="0"/>
                <w:sz w:val="21"/>
                <w:szCs w:val="21"/>
              </w:rPr>
              <w:t>评分标准</w:t>
            </w:r>
          </w:p>
        </w:tc>
        <w:tc>
          <w:tcPr>
            <w:tcW w:w="1673" w:type="pct"/>
            <w:vAlign w:val="center"/>
          </w:tcPr>
          <w:p>
            <w:pPr>
              <w:widowControl/>
              <w:wordWrap w:val="0"/>
              <w:spacing w:line="240" w:lineRule="atLeast"/>
              <w:jc w:val="center"/>
              <w:rPr>
                <w:rFonts w:hint="eastAsia" w:ascii="黑体" w:hAnsi="黑体" w:eastAsia="黑体" w:cs="黑体"/>
                <w:b w:val="0"/>
                <w:bCs/>
                <w:color w:val="333333"/>
                <w:kern w:val="0"/>
                <w:sz w:val="21"/>
                <w:szCs w:val="21"/>
              </w:rPr>
            </w:pPr>
            <w:r>
              <w:rPr>
                <w:rFonts w:hint="eastAsia" w:ascii="黑体" w:hAnsi="黑体" w:eastAsia="黑体" w:cs="黑体"/>
                <w:b w:val="0"/>
                <w:bCs/>
                <w:color w:val="333333"/>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323" w:type="pct"/>
            <w:vAlign w:val="center"/>
          </w:tcPr>
          <w:p>
            <w:pPr>
              <w:widowControl/>
              <w:wordWrap w:val="0"/>
              <w:spacing w:line="27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rPr>
              <w:t>1</w:t>
            </w:r>
          </w:p>
        </w:tc>
        <w:tc>
          <w:tcPr>
            <w:tcW w:w="620" w:type="pc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投标报价</w:t>
            </w:r>
          </w:p>
          <w:p>
            <w:pPr>
              <w:widowControl/>
              <w:wordWrap w:val="0"/>
              <w:spacing w:line="27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lang w:val="en-US" w:eastAsia="zh-CN"/>
              </w:rPr>
              <w:t>30</w:t>
            </w:r>
            <w:r>
              <w:rPr>
                <w:rFonts w:hint="eastAsia" w:ascii="仿宋_GB2312" w:hAnsi="仿宋_GB2312" w:eastAsia="仿宋_GB2312" w:cs="仿宋_GB2312"/>
                <w:color w:val="000000"/>
                <w:kern w:val="0"/>
                <w:sz w:val="21"/>
                <w:szCs w:val="21"/>
              </w:rPr>
              <w:t>%</w:t>
            </w:r>
          </w:p>
        </w:tc>
        <w:tc>
          <w:tcPr>
            <w:tcW w:w="329" w:type="pct"/>
            <w:vAlign w:val="center"/>
          </w:tcPr>
          <w:p>
            <w:pPr>
              <w:widowControl/>
              <w:wordWrap w:val="0"/>
              <w:spacing w:line="27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30</w:t>
            </w:r>
          </w:p>
        </w:tc>
        <w:tc>
          <w:tcPr>
            <w:tcW w:w="2052" w:type="pct"/>
            <w:vAlign w:val="center"/>
          </w:tcPr>
          <w:p>
            <w:pPr>
              <w:widowControl/>
              <w:wordWrap w:val="0"/>
              <w:spacing w:line="270" w:lineRule="atLeast"/>
              <w:jc w:val="lef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1.价格分：</w:t>
            </w:r>
          </w:p>
          <w:p>
            <w:pPr>
              <w:widowControl/>
              <w:wordWrap w:val="0"/>
              <w:spacing w:line="270" w:lineRule="atLeast"/>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投标材料满足招标文件要求且以</w:t>
            </w:r>
            <w:r>
              <w:rPr>
                <w:rFonts w:hint="eastAsia" w:ascii="仿宋_GB2312" w:hAnsi="仿宋_GB2312" w:eastAsia="仿宋_GB2312" w:cs="仿宋_GB2312"/>
                <w:b/>
                <w:kern w:val="0"/>
                <w:sz w:val="21"/>
                <w:szCs w:val="21"/>
              </w:rPr>
              <w:t>投标总价</w:t>
            </w:r>
            <w:r>
              <w:rPr>
                <w:rFonts w:hint="eastAsia" w:ascii="仿宋_GB2312" w:hAnsi="仿宋_GB2312" w:eastAsia="仿宋_GB2312" w:cs="仿宋_GB2312"/>
                <w:kern w:val="0"/>
                <w:sz w:val="21"/>
                <w:szCs w:val="21"/>
              </w:rPr>
              <w:t>最低的为</w:t>
            </w:r>
            <w:r>
              <w:rPr>
                <w:rFonts w:hint="eastAsia" w:ascii="仿宋_GB2312" w:hAnsi="仿宋_GB2312" w:eastAsia="仿宋_GB2312" w:cs="仿宋_GB2312"/>
                <w:b/>
                <w:kern w:val="0"/>
                <w:sz w:val="21"/>
                <w:szCs w:val="21"/>
              </w:rPr>
              <w:t>评标基准价</w:t>
            </w:r>
            <w:r>
              <w:rPr>
                <w:rFonts w:hint="eastAsia" w:ascii="仿宋_GB2312" w:hAnsi="仿宋_GB2312" w:eastAsia="仿宋_GB2312" w:cs="仿宋_GB2312"/>
                <w:kern w:val="0"/>
                <w:sz w:val="21"/>
                <w:szCs w:val="21"/>
              </w:rPr>
              <w:t>，其价格分为</w:t>
            </w:r>
            <w:r>
              <w:rPr>
                <w:rFonts w:hint="eastAsia" w:ascii="仿宋_GB2312" w:hAnsi="仿宋_GB2312" w:eastAsia="仿宋_GB2312" w:cs="仿宋_GB2312"/>
                <w:kern w:val="0"/>
                <w:sz w:val="21"/>
                <w:szCs w:val="21"/>
                <w:lang w:val="en-US" w:eastAsia="zh-CN"/>
              </w:rPr>
              <w:t>30</w:t>
            </w:r>
            <w:r>
              <w:rPr>
                <w:rFonts w:hint="eastAsia" w:ascii="仿宋_GB2312" w:hAnsi="仿宋_GB2312" w:eastAsia="仿宋_GB2312" w:cs="仿宋_GB2312"/>
                <w:kern w:val="0"/>
                <w:sz w:val="21"/>
                <w:szCs w:val="21"/>
              </w:rPr>
              <w:t>分。其他投标单位的价格分统一按照以下公式计算：价格分=(</w:t>
            </w:r>
            <w:r>
              <w:rPr>
                <w:rFonts w:hint="eastAsia" w:ascii="仿宋_GB2312" w:hAnsi="仿宋_GB2312" w:eastAsia="仿宋_GB2312" w:cs="仿宋_GB2312"/>
                <w:b/>
                <w:kern w:val="0"/>
                <w:sz w:val="21"/>
                <w:szCs w:val="21"/>
              </w:rPr>
              <w:t>评标基准价</w:t>
            </w:r>
            <w:r>
              <w:rPr>
                <w:rFonts w:hint="eastAsia" w:ascii="仿宋_GB2312" w:hAnsi="仿宋_GB2312" w:eastAsia="仿宋_GB2312" w:cs="仿宋_GB2312"/>
                <w:kern w:val="0"/>
                <w:sz w:val="21"/>
                <w:szCs w:val="21"/>
              </w:rPr>
              <w:t>／投标总价)×</w:t>
            </w:r>
            <w:r>
              <w:rPr>
                <w:rFonts w:hint="eastAsia" w:ascii="仿宋_GB2312" w:hAnsi="仿宋_GB2312" w:eastAsia="仿宋_GB2312" w:cs="仿宋_GB2312"/>
                <w:kern w:val="0"/>
                <w:sz w:val="21"/>
                <w:szCs w:val="21"/>
                <w:lang w:val="en-US" w:eastAsia="zh-CN"/>
              </w:rPr>
              <w:t>30</w:t>
            </w:r>
          </w:p>
          <w:p>
            <w:pPr>
              <w:widowControl/>
              <w:wordWrap w:val="0"/>
              <w:spacing w:line="270" w:lineRule="atLeast"/>
              <w:jc w:val="lef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2.投标总价</w:t>
            </w:r>
          </w:p>
          <w:p>
            <w:pPr>
              <w:widowControl/>
              <w:wordWrap w:val="0"/>
              <w:spacing w:line="270" w:lineRule="atLeas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投标总价=各检测项目单人份检测（含试剂耗材）成本*预估年度检测人次</w:t>
            </w:r>
          </w:p>
        </w:tc>
        <w:tc>
          <w:tcPr>
            <w:tcW w:w="1673" w:type="pct"/>
            <w:vAlign w:val="center"/>
          </w:tcPr>
          <w:p>
            <w:pPr>
              <w:wordWrap w:val="0"/>
              <w:spacing w:line="270" w:lineRule="atLeas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1.供应商应明确各项检测需配备的耗材（包括但不限于样本稀释液、质控品、校准品、清洗液等）并分项报价；</w:t>
            </w:r>
          </w:p>
          <w:p>
            <w:pPr>
              <w:wordWrap w:val="0"/>
              <w:spacing w:line="270" w:lineRule="atLeas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2.供应商应根据各项检测的预估年度检测人次，</w:t>
            </w:r>
            <w:r>
              <w:rPr>
                <w:rFonts w:hint="eastAsia" w:ascii="仿宋_GB2312" w:hAnsi="仿宋_GB2312" w:eastAsia="仿宋_GB2312" w:cs="仿宋_GB2312"/>
                <w:b/>
                <w:kern w:val="0"/>
                <w:sz w:val="21"/>
                <w:szCs w:val="21"/>
              </w:rPr>
              <w:t>合理测算</w:t>
            </w:r>
            <w:r>
              <w:rPr>
                <w:rFonts w:hint="eastAsia" w:ascii="仿宋_GB2312" w:hAnsi="仿宋_GB2312" w:eastAsia="仿宋_GB2312" w:cs="仿宋_GB2312"/>
                <w:kern w:val="0"/>
                <w:sz w:val="21"/>
                <w:szCs w:val="21"/>
              </w:rPr>
              <w:t>单人份检测成本（含试剂耗材），并计算投标总价；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323" w:type="pct"/>
            <w:vAlign w:val="center"/>
          </w:tcPr>
          <w:p>
            <w:pPr>
              <w:widowControl/>
              <w:wordWrap w:val="0"/>
              <w:spacing w:line="27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rPr>
              <w:t>2</w:t>
            </w:r>
          </w:p>
        </w:tc>
        <w:tc>
          <w:tcPr>
            <w:tcW w:w="620" w:type="pc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技术指标</w:t>
            </w:r>
          </w:p>
          <w:p>
            <w:pPr>
              <w:widowControl/>
              <w:wordWrap w:val="0"/>
              <w:spacing w:line="27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lang w:val="en-US" w:eastAsia="zh-CN"/>
              </w:rPr>
              <w:t>40</w:t>
            </w:r>
            <w:r>
              <w:rPr>
                <w:rFonts w:hint="eastAsia" w:ascii="仿宋_GB2312" w:hAnsi="仿宋_GB2312" w:eastAsia="仿宋_GB2312" w:cs="仿宋_GB2312"/>
                <w:color w:val="000000"/>
                <w:kern w:val="0"/>
                <w:sz w:val="21"/>
                <w:szCs w:val="21"/>
              </w:rPr>
              <w:t>%</w:t>
            </w:r>
          </w:p>
        </w:tc>
        <w:tc>
          <w:tcPr>
            <w:tcW w:w="329" w:type="pct"/>
            <w:vAlign w:val="center"/>
          </w:tcPr>
          <w:p>
            <w:pPr>
              <w:widowControl/>
              <w:wordWrap w:val="0"/>
              <w:spacing w:line="270" w:lineRule="atLeast"/>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000000"/>
                <w:kern w:val="0"/>
                <w:sz w:val="21"/>
                <w:szCs w:val="21"/>
                <w:lang w:val="en-US" w:eastAsia="zh-CN"/>
              </w:rPr>
              <w:t>40</w:t>
            </w:r>
          </w:p>
        </w:tc>
        <w:tc>
          <w:tcPr>
            <w:tcW w:w="2052" w:type="pct"/>
            <w:vAlign w:val="center"/>
          </w:tcPr>
          <w:p>
            <w:pPr>
              <w:widowControl/>
              <w:wordWrap w:val="0"/>
              <w:spacing w:line="270" w:lineRule="atLeas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投标人提供的检测试剂技术参数完全符合招标文件要求，没有负偏离得</w:t>
            </w:r>
            <w:r>
              <w:rPr>
                <w:rFonts w:hint="eastAsia" w:ascii="仿宋_GB2312" w:hAnsi="仿宋_GB2312" w:eastAsia="仿宋_GB2312" w:cs="仿宋_GB2312"/>
                <w:kern w:val="0"/>
                <w:sz w:val="21"/>
                <w:szCs w:val="21"/>
                <w:lang w:val="en-US" w:eastAsia="zh-CN"/>
              </w:rPr>
              <w:t>40</w:t>
            </w:r>
            <w:r>
              <w:rPr>
                <w:rFonts w:hint="eastAsia" w:ascii="仿宋_GB2312" w:hAnsi="仿宋_GB2312" w:eastAsia="仿宋_GB2312" w:cs="仿宋_GB2312"/>
                <w:kern w:val="0"/>
                <w:sz w:val="21"/>
                <w:szCs w:val="21"/>
              </w:rPr>
              <w:t>分；非“*”条款技术参数不满足招标文件要求（负偏离），一项扣</w:t>
            </w:r>
            <w:r>
              <w:rPr>
                <w:rFonts w:hint="eastAsia" w:ascii="仿宋_GB2312" w:hAnsi="仿宋_GB2312" w:eastAsia="仿宋_GB2312" w:cs="仿宋_GB2312"/>
                <w:kern w:val="0"/>
                <w:sz w:val="21"/>
                <w:szCs w:val="21"/>
                <w:lang w:val="en-US" w:eastAsia="zh-CN"/>
              </w:rPr>
              <w:t>4</w:t>
            </w:r>
            <w:r>
              <w:rPr>
                <w:rFonts w:hint="eastAsia" w:ascii="仿宋_GB2312" w:hAnsi="仿宋_GB2312" w:eastAsia="仿宋_GB2312" w:cs="仿宋_GB2312"/>
                <w:kern w:val="0"/>
                <w:sz w:val="21"/>
                <w:szCs w:val="21"/>
              </w:rPr>
              <w:t>分，“*”条款技术参数与招标文件要求有负偏离的，一项扣</w:t>
            </w:r>
            <w:r>
              <w:rPr>
                <w:rFonts w:hint="eastAsia" w:ascii="仿宋_GB2312" w:hAnsi="仿宋_GB2312" w:eastAsia="仿宋_GB2312" w:cs="仿宋_GB2312"/>
                <w:kern w:val="0"/>
                <w:sz w:val="21"/>
                <w:szCs w:val="21"/>
                <w:lang w:val="en-US" w:eastAsia="zh-CN"/>
              </w:rPr>
              <w:t>8</w:t>
            </w:r>
            <w:r>
              <w:rPr>
                <w:rFonts w:hint="eastAsia" w:ascii="仿宋_GB2312" w:hAnsi="仿宋_GB2312" w:eastAsia="仿宋_GB2312" w:cs="仿宋_GB2312"/>
                <w:kern w:val="0"/>
                <w:sz w:val="21"/>
                <w:szCs w:val="21"/>
              </w:rPr>
              <w:t>分；扣完为止。</w:t>
            </w:r>
          </w:p>
        </w:tc>
        <w:tc>
          <w:tcPr>
            <w:tcW w:w="1673" w:type="pct"/>
            <w:vAlign w:val="center"/>
          </w:tcPr>
          <w:p>
            <w:pPr>
              <w:widowControl/>
              <w:wordWrap w:val="0"/>
              <w:spacing w:line="270" w:lineRule="atLeas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323" w:type="pct"/>
            <w:vMerge w:val="restar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620" w:type="pct"/>
            <w:vMerge w:val="restar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供应商能力</w:t>
            </w:r>
          </w:p>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w:t>
            </w:r>
          </w:p>
        </w:tc>
        <w:tc>
          <w:tcPr>
            <w:tcW w:w="329" w:type="pct"/>
            <w:vAlign w:val="center"/>
          </w:tcPr>
          <w:p>
            <w:pPr>
              <w:widowControl/>
              <w:wordWrap w:val="0"/>
              <w:spacing w:line="270" w:lineRule="atLeast"/>
              <w:jc w:val="center"/>
              <w:rPr>
                <w:rFonts w:hint="eastAsia" w:ascii="仿宋_GB2312" w:hAnsi="仿宋_GB2312" w:eastAsia="仿宋_GB2312" w:cs="仿宋_GB2312"/>
                <w:color w:val="333333"/>
                <w:kern w:val="0"/>
                <w:sz w:val="21"/>
                <w:szCs w:val="21"/>
                <w:lang w:eastAsia="zh-CN"/>
              </w:rPr>
            </w:pPr>
            <w:r>
              <w:rPr>
                <w:rFonts w:hint="eastAsia" w:ascii="仿宋_GB2312" w:hAnsi="仿宋_GB2312" w:eastAsia="仿宋_GB2312" w:cs="仿宋_GB2312"/>
                <w:color w:val="333333"/>
                <w:kern w:val="0"/>
                <w:sz w:val="21"/>
                <w:szCs w:val="21"/>
                <w:lang w:val="en-US" w:eastAsia="zh-CN"/>
              </w:rPr>
              <w:t>4</w:t>
            </w:r>
          </w:p>
        </w:tc>
        <w:tc>
          <w:tcPr>
            <w:tcW w:w="2052" w:type="pct"/>
            <w:vAlign w:val="center"/>
          </w:tcPr>
          <w:p>
            <w:pPr>
              <w:widowControl/>
              <w:wordWrap w:val="0"/>
              <w:spacing w:line="270" w:lineRule="atLeast"/>
              <w:jc w:val="left"/>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投标人需提供经办人的社保缴纳证明、商业信誉和健全的财务会计制度承诺函、履行合同所必须的设备和专业技术能力承诺函、最低报价承诺函，每提供1个资料得1分，最多得</w:t>
            </w:r>
            <w:r>
              <w:rPr>
                <w:rFonts w:hint="eastAsia" w:ascii="仿宋_GB2312" w:hAnsi="仿宋_GB2312" w:eastAsia="仿宋_GB2312" w:cs="仿宋_GB2312"/>
                <w:color w:val="333333"/>
                <w:kern w:val="0"/>
                <w:sz w:val="21"/>
                <w:szCs w:val="21"/>
                <w:lang w:val="en-US" w:eastAsia="zh-CN"/>
              </w:rPr>
              <w:t>4</w:t>
            </w:r>
            <w:r>
              <w:rPr>
                <w:rFonts w:hint="eastAsia" w:ascii="仿宋_GB2312" w:hAnsi="仿宋_GB2312" w:eastAsia="仿宋_GB2312" w:cs="仿宋_GB2312"/>
                <w:color w:val="333333"/>
                <w:kern w:val="0"/>
                <w:sz w:val="21"/>
                <w:szCs w:val="21"/>
              </w:rPr>
              <w:t>分。</w:t>
            </w:r>
          </w:p>
        </w:tc>
        <w:tc>
          <w:tcPr>
            <w:tcW w:w="1673" w:type="pct"/>
            <w:vAlign w:val="center"/>
          </w:tcPr>
          <w:p>
            <w:pPr>
              <w:widowControl/>
              <w:wordWrap w:val="0"/>
              <w:spacing w:line="270" w:lineRule="atLeast"/>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23" w:type="pct"/>
            <w:vMerge w:val="continue"/>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p>
        </w:tc>
        <w:tc>
          <w:tcPr>
            <w:tcW w:w="620" w:type="pct"/>
            <w:vMerge w:val="continue"/>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p>
        </w:tc>
        <w:tc>
          <w:tcPr>
            <w:tcW w:w="329" w:type="pc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2052" w:type="pct"/>
            <w:vAlign w:val="center"/>
          </w:tcPr>
          <w:p>
            <w:pPr>
              <w:widowControl/>
              <w:wordWrap w:val="0"/>
              <w:spacing w:line="270" w:lineRule="atLeas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333333"/>
                <w:kern w:val="0"/>
                <w:sz w:val="21"/>
                <w:szCs w:val="21"/>
              </w:rPr>
              <w:t>.</w:t>
            </w:r>
            <w:r>
              <w:rPr>
                <w:rFonts w:hint="eastAsia" w:ascii="仿宋_GB2312" w:hAnsi="仿宋_GB2312" w:eastAsia="仿宋_GB2312" w:cs="仿宋_GB2312"/>
                <w:color w:val="000000"/>
                <w:kern w:val="0"/>
                <w:sz w:val="21"/>
                <w:szCs w:val="21"/>
              </w:rPr>
              <w:t>提供投标产品2019年以来</w:t>
            </w:r>
            <w:r>
              <w:rPr>
                <w:rFonts w:hint="eastAsia" w:ascii="仿宋_GB2312" w:hAnsi="仿宋_GB2312" w:eastAsia="仿宋_GB2312" w:cs="仿宋_GB2312"/>
                <w:color w:val="000000"/>
                <w:kern w:val="0"/>
                <w:sz w:val="21"/>
                <w:szCs w:val="21"/>
                <w:highlight w:val="none"/>
                <w:lang w:val="en-US" w:eastAsia="zh-CN"/>
              </w:rPr>
              <w:t>省内</w:t>
            </w:r>
            <w:r>
              <w:rPr>
                <w:rFonts w:hint="eastAsia" w:ascii="仿宋_GB2312" w:hAnsi="仿宋_GB2312" w:eastAsia="仿宋_GB2312" w:cs="仿宋_GB2312"/>
                <w:color w:val="000000"/>
                <w:kern w:val="0"/>
                <w:sz w:val="21"/>
                <w:szCs w:val="21"/>
              </w:rPr>
              <w:t>三甲医疗机构业绩证明，每提供1家三甲医院业绩证明得</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分，最多得12分</w:t>
            </w:r>
            <w:r>
              <w:rPr>
                <w:rFonts w:hint="eastAsia" w:ascii="仿宋_GB2312" w:hAnsi="仿宋_GB2312" w:eastAsia="仿宋_GB2312" w:cs="仿宋_GB2312"/>
                <w:color w:val="000000"/>
                <w:kern w:val="0"/>
                <w:sz w:val="21"/>
                <w:szCs w:val="21"/>
                <w:lang w:eastAsia="zh-CN"/>
              </w:rPr>
              <w:t>。</w:t>
            </w:r>
          </w:p>
        </w:tc>
        <w:tc>
          <w:tcPr>
            <w:tcW w:w="1673" w:type="pct"/>
            <w:vAlign w:val="center"/>
          </w:tcPr>
          <w:p>
            <w:pPr>
              <w:widowControl/>
              <w:wordWrap w:val="0"/>
              <w:spacing w:line="270" w:lineRule="atLeas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以下三项材料均可作为依据：</w:t>
            </w:r>
          </w:p>
          <w:p>
            <w:pPr>
              <w:widowControl/>
              <w:wordWrap w:val="0"/>
              <w:spacing w:line="270" w:lineRule="atLeas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1.合同复印件；</w:t>
            </w:r>
          </w:p>
          <w:p>
            <w:pPr>
              <w:widowControl/>
              <w:wordWrap w:val="0"/>
              <w:spacing w:line="270" w:lineRule="atLeas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2.中标通知书；</w:t>
            </w:r>
          </w:p>
          <w:p>
            <w:pPr>
              <w:widowControl/>
              <w:wordWrap w:val="0"/>
              <w:spacing w:line="270" w:lineRule="atLeas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3.发票复印件（若发票复印件上无产品明细则需附销货清单）</w:t>
            </w:r>
            <w:r>
              <w:rPr>
                <w:rFonts w:hint="eastAsia" w:ascii="仿宋_GB2312" w:hAnsi="仿宋_GB2312" w:eastAsia="仿宋_GB2312" w:cs="仿宋_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23" w:type="pct"/>
            <w:vMerge w:val="restart"/>
            <w:vAlign w:val="center"/>
          </w:tcPr>
          <w:p>
            <w:pPr>
              <w:widowControl/>
              <w:wordWrap w:val="0"/>
              <w:spacing w:line="270" w:lineRule="atLeast"/>
              <w:jc w:val="center"/>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000000"/>
                <w:kern w:val="0"/>
                <w:sz w:val="21"/>
                <w:szCs w:val="21"/>
              </w:rPr>
              <w:t>4</w:t>
            </w:r>
          </w:p>
        </w:tc>
        <w:tc>
          <w:tcPr>
            <w:tcW w:w="620" w:type="pct"/>
            <w:vMerge w:val="restart"/>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售后服务</w:t>
            </w:r>
          </w:p>
          <w:p>
            <w:pPr>
              <w:widowControl/>
              <w:wordWrap w:val="0"/>
              <w:spacing w:line="270" w:lineRule="atLeas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14</w:t>
            </w:r>
            <w:r>
              <w:rPr>
                <w:rFonts w:hint="eastAsia" w:ascii="仿宋_GB2312" w:hAnsi="仿宋_GB2312" w:eastAsia="仿宋_GB2312" w:cs="仿宋_GB2312"/>
                <w:color w:val="000000"/>
                <w:kern w:val="0"/>
                <w:sz w:val="21"/>
                <w:szCs w:val="21"/>
              </w:rPr>
              <w:t>%</w:t>
            </w:r>
          </w:p>
        </w:tc>
        <w:tc>
          <w:tcPr>
            <w:tcW w:w="329" w:type="pct"/>
            <w:vAlign w:val="center"/>
          </w:tcPr>
          <w:p>
            <w:pPr>
              <w:spacing w:line="320" w:lineRule="atLeast"/>
              <w:ind w:left="-105" w:right="-107"/>
              <w:jc w:val="center"/>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10</w:t>
            </w:r>
          </w:p>
        </w:tc>
        <w:tc>
          <w:tcPr>
            <w:tcW w:w="2052" w:type="pct"/>
            <w:vAlign w:val="center"/>
          </w:tcPr>
          <w:p>
            <w:pPr>
              <w:wordWrap w:val="0"/>
              <w:spacing w:line="270" w:lineRule="atLeas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根据响应文件中提供的售后服务承诺、人员培训计划、应急方案、产品彩页简介等进行综合评分。优得7-10分，良得4-6分，一般得1-3分，未提供不得分。</w:t>
            </w:r>
          </w:p>
        </w:tc>
        <w:tc>
          <w:tcPr>
            <w:tcW w:w="1673" w:type="pct"/>
            <w:vAlign w:val="center"/>
          </w:tcPr>
          <w:p>
            <w:pPr>
              <w:widowControl/>
              <w:wordWrap w:val="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23" w:type="pct"/>
            <w:vMerge w:val="continue"/>
            <w:vAlign w:val="center"/>
          </w:tcPr>
          <w:p>
            <w:pPr>
              <w:widowControl/>
              <w:wordWrap w:val="0"/>
              <w:spacing w:line="270" w:lineRule="atLeast"/>
              <w:jc w:val="center"/>
              <w:rPr>
                <w:rFonts w:hint="eastAsia" w:ascii="仿宋_GB2312" w:hAnsi="仿宋_GB2312" w:eastAsia="仿宋_GB2312" w:cs="仿宋_GB2312"/>
                <w:color w:val="000000"/>
                <w:kern w:val="0"/>
                <w:sz w:val="21"/>
                <w:szCs w:val="21"/>
              </w:rPr>
            </w:pPr>
          </w:p>
        </w:tc>
        <w:tc>
          <w:tcPr>
            <w:tcW w:w="620" w:type="pct"/>
            <w:vMerge w:val="continue"/>
            <w:vAlign w:val="center"/>
          </w:tcPr>
          <w:p>
            <w:pPr>
              <w:widowControl/>
              <w:wordWrap w:val="0"/>
              <w:spacing w:line="270" w:lineRule="atLeast"/>
              <w:jc w:val="center"/>
              <w:rPr>
                <w:rFonts w:hint="eastAsia" w:ascii="仿宋_GB2312" w:hAnsi="仿宋_GB2312" w:eastAsia="仿宋_GB2312" w:cs="仿宋_GB2312"/>
                <w:color w:val="000000"/>
                <w:kern w:val="0"/>
                <w:sz w:val="21"/>
                <w:szCs w:val="21"/>
                <w:lang w:val="en-US" w:eastAsia="zh-CN"/>
              </w:rPr>
            </w:pPr>
          </w:p>
        </w:tc>
        <w:tc>
          <w:tcPr>
            <w:tcW w:w="329" w:type="pct"/>
            <w:vAlign w:val="center"/>
          </w:tcPr>
          <w:p>
            <w:pPr>
              <w:widowControl/>
              <w:wordWrap w:val="0"/>
              <w:jc w:val="center"/>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4</w:t>
            </w:r>
          </w:p>
        </w:tc>
        <w:tc>
          <w:tcPr>
            <w:tcW w:w="2052" w:type="pct"/>
            <w:vAlign w:val="center"/>
          </w:tcPr>
          <w:p>
            <w:pPr>
              <w:widowControl/>
              <w:wordWrap w:val="0"/>
              <w:spacing w:line="270" w:lineRule="atLeas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1.提供生产厂家在成都设有办事处或分公司或常驻机构的证明材料；</w:t>
            </w:r>
          </w:p>
          <w:p>
            <w:pPr>
              <w:widowControl/>
              <w:wordWrap w:val="0"/>
              <w:jc w:val="left"/>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000000"/>
                <w:kern w:val="0"/>
                <w:sz w:val="21"/>
                <w:szCs w:val="21"/>
              </w:rPr>
              <w:t>2.供应商在成都设有仓储物流点的证明材料</w:t>
            </w:r>
            <w:r>
              <w:rPr>
                <w:rFonts w:hint="eastAsia" w:ascii="仿宋_GB2312" w:hAnsi="仿宋_GB2312" w:eastAsia="仿宋_GB2312" w:cs="仿宋_GB2312"/>
                <w:color w:val="000000"/>
                <w:kern w:val="0"/>
                <w:sz w:val="21"/>
                <w:szCs w:val="21"/>
                <w:lang w:val="en-US" w:eastAsia="zh-CN"/>
              </w:rPr>
              <w:t>。</w:t>
            </w:r>
          </w:p>
        </w:tc>
        <w:tc>
          <w:tcPr>
            <w:tcW w:w="1673" w:type="pct"/>
            <w:vAlign w:val="center"/>
          </w:tcPr>
          <w:p>
            <w:pPr>
              <w:widowControl/>
              <w:wordWrap w:val="0"/>
              <w:jc w:val="left"/>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000000"/>
                <w:kern w:val="0"/>
                <w:sz w:val="21"/>
                <w:szCs w:val="21"/>
              </w:rPr>
              <w:t>提供其中一项材料即可得</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分，两项均未提供则不得分</w:t>
            </w:r>
            <w:r>
              <w:rPr>
                <w:rFonts w:hint="eastAsia" w:ascii="仿宋_GB2312" w:hAnsi="仿宋_GB2312" w:eastAsia="仿宋_GB2312" w:cs="仿宋_GB2312"/>
                <w:color w:val="000000"/>
                <w:kern w:val="0"/>
                <w:sz w:val="21"/>
                <w:szCs w:val="21"/>
                <w:lang w:eastAsia="zh-CN"/>
              </w:rPr>
              <w:t>。</w:t>
            </w:r>
          </w:p>
        </w:tc>
      </w:tr>
    </w:tbl>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w:t>
      </w:r>
      <w:r>
        <w:rPr>
          <w:rFonts w:hint="eastAsia" w:ascii="仿宋_GB2312" w:hAnsi="Segoe UI" w:eastAsia="仿宋_GB2312" w:cs="Segoe UI"/>
          <w:color w:val="000000" w:themeColor="text1"/>
          <w:kern w:val="0"/>
          <w:sz w:val="24"/>
          <w:szCs w:val="24"/>
          <w14:textFill>
            <w14:solidFill>
              <w14:schemeClr w14:val="tx1"/>
            </w14:solidFill>
          </w14:textFill>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16、售后</w:t>
      </w:r>
      <w:r>
        <w:rPr>
          <w:rFonts w:hint="eastAsia" w:ascii="仿宋_GB2312" w:hAnsi="Segoe UI" w:eastAsia="仿宋_GB2312" w:cs="Segoe UI"/>
          <w:color w:val="000000" w:themeColor="text1"/>
          <w:kern w:val="0"/>
          <w:sz w:val="24"/>
          <w:szCs w:val="24"/>
          <w14:textFill>
            <w14:solidFill>
              <w14:schemeClr w14:val="tx1"/>
            </w14:solidFill>
          </w14:textFill>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18、产品说明书或</w:t>
      </w:r>
      <w:r>
        <w:rPr>
          <w:rFonts w:hint="eastAsia" w:ascii="仿宋_GB2312" w:hAnsi="Segoe UI" w:eastAsia="仿宋_GB2312" w:cs="Segoe UI"/>
          <w:color w:val="000000" w:themeColor="text1"/>
          <w:kern w:val="0"/>
          <w:sz w:val="24"/>
          <w:szCs w:val="24"/>
          <w14:textFill>
            <w14:solidFill>
              <w14:schemeClr w14:val="tx1"/>
            </w14:solidFill>
          </w14:textFill>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21、</w:t>
      </w:r>
      <w:r>
        <w:rPr>
          <w:rFonts w:hint="eastAsia" w:ascii="仿宋_GB2312" w:hAnsi="Segoe UI" w:eastAsia="仿宋_GB2312" w:cs="Segoe UI"/>
          <w:color w:val="000000" w:themeColor="text1"/>
          <w:spacing w:val="8"/>
          <w:kern w:val="0"/>
          <w:sz w:val="24"/>
          <w:szCs w:val="24"/>
          <w14:textFill>
            <w14:solidFill>
              <w14:schemeClr w14:val="tx1"/>
            </w14:solidFill>
          </w14:textFill>
        </w:rPr>
        <w:t>封底</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附件4：主要表格格式</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spacing w:line="400" w:lineRule="atLeast"/>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偏离表</w:t>
      </w:r>
    </w:p>
    <w:tbl>
      <w:tblPr>
        <w:tblStyle w:val="8"/>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jc w:val="left"/>
        <w:rPr>
          <w:rFonts w:ascii="仿宋_GB2312" w:hAnsi="Segoe UI" w:eastAsia="仿宋_GB2312" w:cs="Segoe UI"/>
          <w:color w:val="000000" w:themeColor="text1"/>
          <w:kern w:val="0"/>
          <w:sz w:val="22"/>
          <w14:textFill>
            <w14:solidFill>
              <w14:schemeClr w14:val="tx1"/>
            </w14:solidFill>
          </w14:textFill>
        </w:rPr>
      </w:pPr>
      <w:r>
        <w:rPr>
          <w:rFonts w:ascii="仿宋_GB2312" w:hAnsi="Segoe UI" w:eastAsia="仿宋_GB2312" w:cs="Segoe UI"/>
          <w:color w:val="000000" w:themeColor="text1"/>
          <w:kern w:val="0"/>
          <w:sz w:val="22"/>
          <w14:textFill>
            <w14:solidFill>
              <w14:schemeClr w14:val="tx1"/>
            </w14:solidFill>
          </w14:textFill>
        </w:rPr>
        <w:br w:type="page"/>
      </w:r>
    </w:p>
    <w:p>
      <w:pPr>
        <w:widowControl/>
        <w:shd w:val="clear" w:color="auto" w:fill="FFFFFF"/>
        <w:wordWrap w:val="0"/>
        <w:spacing w:line="270" w:lineRule="atLeast"/>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附件4-2：</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jc w:val="left"/>
        <w:rPr>
          <w:rFonts w:ascii="Segoe UI" w:hAnsi="Segoe UI" w:eastAsia="宋体" w:cs="Segoe UI"/>
          <w:color w:val="000000" w:themeColor="text1"/>
          <w:kern w:val="0"/>
          <w:sz w:val="20"/>
          <w:szCs w:val="20"/>
          <w14:textFill>
            <w14:solidFill>
              <w14:schemeClr w14:val="tx1"/>
            </w14:solidFill>
          </w14:textFill>
        </w:rPr>
      </w:pPr>
      <w:bookmarkStart w:id="0" w:name="_Toc95295163"/>
      <w:bookmarkEnd w:id="0"/>
      <w:r>
        <w:rPr>
          <w:rFonts w:hint="eastAsia" w:ascii="仿宋_GB2312" w:hAnsi="Segoe UI" w:eastAsia="仿宋_GB2312" w:cs="Segoe UI"/>
          <w:b/>
          <w:bCs/>
          <w:color w:val="000000" w:themeColor="text1"/>
          <w:kern w:val="0"/>
          <w:sz w:val="28"/>
          <w:szCs w:val="28"/>
          <w14:textFill>
            <w14:solidFill>
              <w14:schemeClr w14:val="tx1"/>
            </w14:solidFill>
          </w14:textFill>
        </w:rPr>
        <w:t>附件4-3：</w:t>
      </w:r>
    </w:p>
    <w:p>
      <w:pPr>
        <w:widowControl/>
        <w:shd w:val="clear" w:color="auto" w:fill="FFFFFF"/>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品目及报价表</w:t>
      </w:r>
    </w:p>
    <w:tbl>
      <w:tblPr>
        <w:tblStyle w:val="8"/>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备注</w:t>
            </w:r>
          </w:p>
          <w:p>
            <w:pPr>
              <w:widowControl/>
              <w:wordWrap w:val="0"/>
              <w:jc w:val="center"/>
              <w:rPr>
                <w:rFonts w:ascii="仿宋_GB2312" w:hAnsi="Segoe UI" w:eastAsia="仿宋_GB2312" w:cs="Segoe UI"/>
                <w:b/>
                <w:color w:val="000000" w:themeColor="text1"/>
                <w:kern w:val="0"/>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14:textFill>
                  <w14:solidFill>
                    <w14:schemeClr w14:val="tx1"/>
                  </w14:solidFill>
                </w14:textFill>
              </w:rPr>
            </w:pPr>
          </w:p>
        </w:tc>
      </w:tr>
    </w:tbl>
    <w:p>
      <w:pPr>
        <w:widowControl/>
        <w:shd w:val="clear" w:color="auto" w:fill="FFFFFF"/>
        <w:wordWrap w:val="0"/>
        <w:jc w:val="left"/>
        <w:rPr>
          <w:rFonts w:ascii="仿宋_GB2312" w:hAnsi="Segoe UI" w:eastAsia="仿宋_GB2312" w:cs="Segoe UI"/>
          <w:color w:val="000000" w:themeColor="text1"/>
          <w:kern w:val="0"/>
          <w:sz w:val="24"/>
          <w:szCs w:val="24"/>
          <w14:textFill>
            <w14:solidFill>
              <w14:schemeClr w14:val="tx1"/>
            </w14:solidFill>
          </w14:textFill>
        </w:rPr>
      </w:pP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pPr>
        <w:widowControl/>
        <w:shd w:val="clear" w:color="auto" w:fill="FFFFFF"/>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法定代表人或授权代表（签字）：日期：</w:t>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pPr>
      <w:r>
        <w:rPr>
          <w:rFonts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附件4-4：</w:t>
      </w:r>
      <w:r>
        <w:rPr>
          <w:rFonts w:hint="eastAsia" w:ascii="黑体" w:hAnsi="黑体" w:eastAsia="黑体" w:cs="Segoe UI"/>
          <w:b/>
          <w:bCs/>
          <w:color w:val="000000" w:themeColor="text1"/>
          <w:kern w:val="0"/>
          <w:sz w:val="28"/>
          <w:szCs w:val="28"/>
          <w14:textFill>
            <w14:solidFill>
              <w14:schemeClr w14:val="tx1"/>
            </w14:solidFill>
          </w14:textFill>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8"/>
          <w:szCs w:val="28"/>
          <w:u w:val="single"/>
          <w14:textFill>
            <w14:solidFill>
              <w14:schemeClr w14:val="tx1"/>
            </w14:solidFill>
          </w14:textFill>
        </w:rPr>
        <w:t>“”</w:t>
      </w:r>
      <w:r>
        <w:rPr>
          <w:rFonts w:hint="eastAsia" w:ascii="仿宋_GB2312" w:hAnsi="Segoe UI" w:eastAsia="仿宋_GB2312" w:cs="Segoe UI"/>
          <w:color w:val="000000" w:themeColor="text1"/>
          <w:kern w:val="0"/>
          <w:sz w:val="28"/>
          <w:szCs w:val="28"/>
          <w14:textFill>
            <w14:solidFill>
              <w14:schemeClr w14:val="tx1"/>
            </w14:solidFill>
          </w14:textFill>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20"/>
          <w:szCs w:val="20"/>
          <w14:textFill>
            <w14:solidFill>
              <w14:schemeClr w14:val="tx1"/>
            </w14:solidFill>
          </w14:textFill>
        </w:rPr>
      </w:pPr>
      <w:r>
        <w:rPr>
          <w:rFonts w:hint="eastAsia" w:ascii="仿宋_GB2312" w:hAnsi="Segoe UI" w:eastAsia="仿宋_GB2312" w:cs="Segoe UI"/>
          <w:color w:val="000000" w:themeColor="text1"/>
          <w:kern w:val="0"/>
          <w:sz w:val="28"/>
          <w:szCs w:val="28"/>
          <w14:textFill>
            <w14:solidFill>
              <w14:schemeClr w14:val="tx1"/>
            </w14:solidFill>
          </w14:textFill>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20"/>
          <w:szCs w:val="20"/>
          <w14:textFill>
            <w14:solidFill>
              <w14:schemeClr w14:val="tx1"/>
            </w14:solidFill>
          </w14:textFill>
        </w:rPr>
      </w:pPr>
      <w:r>
        <w:rPr>
          <w:rFonts w:hint="eastAsia" w:ascii="宋体" w:hAnsi="宋体" w:eastAsia="宋体" w:cs="Segoe UI"/>
          <w:color w:val="000000" w:themeColor="text1"/>
          <w:kern w:val="0"/>
          <w:sz w:val="28"/>
          <w:szCs w:val="28"/>
          <w14:textFill>
            <w14:solidFill>
              <w14:schemeClr w14:val="tx1"/>
            </w14:solidFill>
          </w14:textFill>
        </w:rPr>
        <w:t> </w:t>
      </w:r>
    </w:p>
    <w:p>
      <w:pPr>
        <w:widowControl/>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承诺企业名称（公章）法人代表或委托代理人（承诺人）</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44655C1"/>
    <w:rsid w:val="2707581A"/>
    <w:rsid w:val="333F5A4E"/>
    <w:rsid w:val="3ACA150E"/>
    <w:rsid w:val="65E2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0"/>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4100</Words>
  <Characters>4261</Characters>
  <Lines>42</Lines>
  <Paragraphs>12</Paragraphs>
  <TotalTime>6</TotalTime>
  <ScaleCrop>false</ScaleCrop>
  <LinksUpToDate>false</LinksUpToDate>
  <CharactersWithSpaces>4331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李姗珊</cp:lastModifiedBy>
  <dcterms:modified xsi:type="dcterms:W3CDTF">2022-04-15T10:12:41Z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E27D36D425FF462FB3ADF7429E10329B</vt:lpwstr>
  </property>
</Properties>
</file>