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eastAsiaTheme="minorEastAsia"/>
          <w:b/>
          <w:bCs/>
          <w:sz w:val="24"/>
          <w:szCs w:val="24"/>
          <w:lang w:val="en-US" w:eastAsia="zh-CN"/>
        </w:rPr>
      </w:pPr>
      <w:r>
        <w:rPr>
          <w:rFonts w:hint="eastAsia" w:ascii="宋体" w:hAnsi="宋体" w:cs="宋体"/>
          <w:b/>
          <w:bCs/>
          <w:sz w:val="24"/>
          <w:szCs w:val="24"/>
          <w:lang w:val="en-US" w:eastAsia="zh-CN"/>
        </w:rPr>
        <w:t>附件一</w:t>
      </w:r>
    </w:p>
    <w:p>
      <w:pPr>
        <w:spacing w:line="360" w:lineRule="auto"/>
        <w:jc w:val="center"/>
        <w:rPr>
          <w:rFonts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ascii="仿宋_GB2312" w:eastAsia="仿宋_GB2312"/>
          <w:b/>
          <w:bCs/>
          <w:sz w:val="32"/>
          <w:szCs w:val="32"/>
        </w:rPr>
      </w:pPr>
      <w:r>
        <w:rPr>
          <w:rFonts w:hint="eastAsia" w:ascii="仿宋_GB2312" w:eastAsia="仿宋_GB2312"/>
          <w:b/>
          <w:bCs/>
          <w:sz w:val="32"/>
          <w:szCs w:val="32"/>
          <w:lang w:val="en-US" w:eastAsia="zh-CN"/>
        </w:rPr>
        <w:t>零星维修改造项目</w:t>
      </w:r>
      <w:r>
        <w:rPr>
          <w:rFonts w:hint="eastAsia" w:ascii="仿宋_GB2312" w:eastAsia="仿宋_GB2312"/>
          <w:b/>
          <w:bCs/>
          <w:sz w:val="32"/>
          <w:szCs w:val="32"/>
        </w:rPr>
        <w:t>招标要求</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b/>
          <w:color w:val="000000"/>
        </w:rPr>
        <w:t>一、项目概况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项目名称：</w:t>
      </w:r>
      <w:r>
        <w:rPr>
          <w:rFonts w:hint="eastAsia" w:ascii="仿宋" w:hAnsi="仿宋" w:eastAsia="仿宋" w:cs="仿宋"/>
          <w:sz w:val="28"/>
          <w:szCs w:val="28"/>
          <w:lang w:val="en-US" w:eastAsia="zh-CN"/>
        </w:rPr>
        <w:t>四川省妇幼保健院零星维修改造项目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项目位置：成都市武侯区沙堰西二街290号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药剂科、妇科门诊、产科胎监室区域和综合楼三楼会议室</w:t>
      </w:r>
    </w:p>
    <w:p>
      <w:pPr>
        <w:pStyle w:val="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rPr>
      </w:pPr>
      <w:r>
        <w:rPr>
          <w:rFonts w:hint="eastAsia" w:ascii="仿宋" w:hAnsi="仿宋" w:eastAsia="仿宋" w:cs="仿宋"/>
          <w:b/>
          <w:bCs/>
          <w:color w:val="000000"/>
          <w:lang w:val="en-US" w:eastAsia="zh-CN"/>
        </w:rPr>
        <w:t>二、</w:t>
      </w:r>
      <w:r>
        <w:rPr>
          <w:rFonts w:hint="eastAsia" w:ascii="仿宋" w:hAnsi="仿宋" w:eastAsia="仿宋" w:cs="仿宋"/>
          <w:b/>
          <w:bCs/>
          <w:color w:val="000000"/>
        </w:rPr>
        <w:t>单位要求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1.参与投标的投标人必须具有独立法人资格。</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2、安全生产许可证在效期内。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3.参与投标的投标人必须具有</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"https://baike.so.com/doc/1771423-1873298.html" \t "http://oa.scfypt.com:9292/km/review/km_review_main/_blank"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建筑</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装修装饰工程专业承包二级或以上的资质。</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color w:val="000000"/>
        </w:rPr>
      </w:pPr>
      <w:r>
        <w:rPr>
          <w:rFonts w:hint="eastAsia" w:ascii="仿宋" w:hAnsi="仿宋" w:eastAsia="仿宋" w:cs="仿宋"/>
          <w:b/>
          <w:color w:val="000000"/>
          <w:lang w:val="en-US" w:eastAsia="zh-CN"/>
        </w:rPr>
        <w:t>三</w:t>
      </w:r>
      <w:r>
        <w:rPr>
          <w:rFonts w:hint="eastAsia" w:ascii="仿宋" w:hAnsi="仿宋" w:eastAsia="仿宋" w:cs="仿宋"/>
          <w:b/>
          <w:color w:val="000000"/>
        </w:rPr>
        <w:t>、改造</w:t>
      </w:r>
      <w:r>
        <w:rPr>
          <w:rFonts w:hint="eastAsia" w:ascii="仿宋" w:hAnsi="仿宋" w:eastAsia="仿宋" w:cs="仿宋"/>
          <w:b/>
          <w:color w:val="000000"/>
          <w:lang w:val="en-US" w:eastAsia="zh-CN"/>
        </w:rPr>
        <w:t>区域基本</w:t>
      </w:r>
      <w:r>
        <w:rPr>
          <w:rFonts w:hint="eastAsia" w:ascii="仿宋" w:hAnsi="仿宋" w:eastAsia="仿宋" w:cs="仿宋"/>
          <w:b/>
          <w:color w:val="000000"/>
        </w:rPr>
        <w:t>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1、药剂科防盗门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（一）晋阳院区住院药房大门更换防盗门；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（二）规格：子母门，1200mm*1950mm；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（三）防火、防盗性好（有相关合格证）；</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2、妇科门诊增加隔断</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（一）原有房屋加装隔断，数量：1间；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（二）房屋墙壁上加装门1扇；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（三）工程量清单见附件.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3、产科胎监室区主要要求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（一）拆除过道围墙及在过道安装门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（二）工程量清单详见附件.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4、医学遗传与产科诊断科分诊主要要求：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（1）可满足医学遗传与产科诊断科分诊需求；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（2）可放置4台电脑，具有较大的储物空间；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（3）工程量清单：详见附件。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5、综合楼三楼会议室</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（1）面积：约60平方，会议室墙纸更换为墙布（环保无污染），屋顶需喷刷乳胶漆（环保无污染）工程量见附件；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（2）增加会议防啸叫处理器和无线话筒系统1套（一拖四）；</w:t>
      </w:r>
    </w:p>
    <w:p>
      <w:pPr>
        <w:pStyle w:val="5"/>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b/>
          <w:color w:val="000000"/>
        </w:rPr>
      </w:pPr>
      <w:r>
        <w:rPr>
          <w:rFonts w:hint="eastAsia" w:ascii="仿宋" w:hAnsi="仿宋" w:eastAsia="仿宋" w:cs="仿宋"/>
          <w:b/>
          <w:color w:val="000000"/>
        </w:rPr>
        <w:t>三、样品的提供与封存</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设计效果图及施工清单中凡涉及到颜色、花纹、样式等要求的所有装饰材料均须提供样品，经甲方确认同意并封样后方可施工。必要时，乙方须将装饰材料进行局部安装经甲方确认同意后方可实施。</w:t>
      </w:r>
    </w:p>
    <w:p>
      <w:pPr>
        <w:pStyle w:val="5"/>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rPr>
      </w:pPr>
      <w:r>
        <w:rPr>
          <w:rFonts w:hint="eastAsia" w:ascii="仿宋" w:hAnsi="仿宋" w:eastAsia="仿宋" w:cs="仿宋"/>
          <w:b/>
          <w:color w:val="000000"/>
        </w:rPr>
        <w:t>四、计划施工工期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本项目施工工期为合同签定后15个日历天。</w:t>
      </w:r>
    </w:p>
    <w:p>
      <w:pPr>
        <w:pStyle w:val="5"/>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仿宋" w:hAnsi="仿宋" w:eastAsia="仿宋" w:cs="仿宋"/>
          <w:b/>
          <w:color w:val="000000"/>
          <w:lang w:val="en-US" w:eastAsia="zh-CN"/>
        </w:rPr>
      </w:pPr>
      <w:r>
        <w:rPr>
          <w:rFonts w:hint="eastAsia" w:ascii="仿宋" w:hAnsi="仿宋" w:eastAsia="仿宋" w:cs="仿宋"/>
          <w:b/>
          <w:color w:val="000000"/>
          <w:lang w:val="en-US" w:eastAsia="zh-CN"/>
        </w:rPr>
        <w:t>五、项目最高限价</w:t>
      </w: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241" w:firstLineChars="100"/>
        <w:textAlignment w:val="auto"/>
        <w:rPr>
          <w:rFonts w:hint="eastAsia" w:ascii="仿宋" w:hAnsi="仿宋" w:eastAsia="仿宋" w:cs="仿宋"/>
          <w:color w:val="000000"/>
          <w:lang w:val="en-US" w:eastAsia="zh-CN"/>
        </w:rPr>
      </w:pPr>
      <w:r>
        <w:rPr>
          <w:rFonts w:hint="eastAsia" w:ascii="仿宋" w:hAnsi="仿宋" w:eastAsia="仿宋" w:cs="仿宋"/>
          <w:b/>
          <w:bCs/>
          <w:color w:val="000000"/>
          <w:lang w:val="en-US" w:eastAsia="zh-CN"/>
        </w:rPr>
        <w:t>本项目包干价，最高限价为：65000</w:t>
      </w:r>
      <w:r>
        <w:rPr>
          <w:rFonts w:hint="eastAsia" w:ascii="仿宋" w:hAnsi="仿宋" w:eastAsia="仿宋" w:cs="仿宋"/>
          <w:color w:val="000000"/>
          <w:lang w:val="en-US" w:eastAsia="zh-CN"/>
        </w:rPr>
        <w:t>元，请潜在供应商充分考虑零星性。</w:t>
      </w:r>
    </w:p>
    <w:p>
      <w:pPr>
        <w:pStyle w:val="5"/>
        <w:widowControl/>
        <w:spacing w:line="440" w:lineRule="atLeast"/>
        <w:ind w:firstLine="485"/>
        <w:rPr>
          <w:rFonts w:hint="eastAsia" w:ascii="仿宋" w:hAnsi="仿宋" w:eastAsia="仿宋" w:cs="仿宋"/>
          <w:color w:val="000000"/>
          <w:lang w:val="en-US" w:eastAsia="zh-CN"/>
        </w:rPr>
      </w:pPr>
    </w:p>
    <w:p>
      <w:pPr>
        <w:pStyle w:val="5"/>
        <w:widowControl/>
        <w:numPr>
          <w:ilvl w:val="0"/>
          <w:numId w:val="0"/>
        </w:numPr>
        <w:spacing w:line="440" w:lineRule="atLeast"/>
        <w:ind w:left="485" w:leftChars="0" w:right="0" w:rightChars="0"/>
        <w:rPr>
          <w:rFonts w:hint="eastAsia" w:ascii="仿宋" w:hAnsi="仿宋" w:eastAsia="仿宋" w:cs="仿宋"/>
          <w:color w:val="000000"/>
          <w:lang w:val="en-US" w:eastAsia="zh-CN"/>
        </w:rPr>
      </w:pPr>
      <w:r>
        <w:rPr>
          <w:rFonts w:hint="eastAsia" w:ascii="仿宋" w:hAnsi="仿宋" w:eastAsia="仿宋" w:cs="仿宋"/>
          <w:b/>
          <w:color w:val="000000"/>
          <w:lang w:val="en-US" w:eastAsia="zh-CN"/>
        </w:rPr>
        <w:t>六、评分办法（综合评分）</w:t>
      </w:r>
    </w:p>
    <w:p>
      <w:pPr>
        <w:spacing w:line="440" w:lineRule="exact"/>
        <w:ind w:firstLine="487" w:firstLineChars="202"/>
        <w:jc w:val="center"/>
        <w:rPr>
          <w:rFonts w:ascii="仿宋_GB2312" w:eastAsia="仿宋_GB2312"/>
          <w:b/>
          <w:bCs w:val="0"/>
          <w:sz w:val="24"/>
        </w:rPr>
      </w:pPr>
      <w:r>
        <w:rPr>
          <w:rFonts w:hint="eastAsia" w:ascii="仿宋_GB2312" w:eastAsia="仿宋_GB2312"/>
          <w:b/>
          <w:bCs w:val="0"/>
          <w:sz w:val="24"/>
        </w:rPr>
        <w:t>综合评分明细表</w:t>
      </w:r>
    </w:p>
    <w:tbl>
      <w:tblPr>
        <w:tblStyle w:val="6"/>
        <w:tblW w:w="84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99"/>
        <w:gridCol w:w="3528"/>
        <w:gridCol w:w="187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8" w:type="dxa"/>
            <w:vAlign w:val="center"/>
          </w:tcPr>
          <w:p>
            <w:pPr>
              <w:rPr>
                <w:rFonts w:hAnsi="宋体" w:cs="宋体"/>
                <w:b/>
                <w:sz w:val="22"/>
              </w:rPr>
            </w:pPr>
            <w:r>
              <w:rPr>
                <w:rFonts w:hint="eastAsia" w:hAnsi="宋体" w:cs="宋体"/>
                <w:b/>
                <w:sz w:val="22"/>
              </w:rPr>
              <w:t>评分因素</w:t>
            </w:r>
          </w:p>
        </w:tc>
        <w:tc>
          <w:tcPr>
            <w:tcW w:w="4627" w:type="dxa"/>
            <w:gridSpan w:val="2"/>
            <w:vAlign w:val="center"/>
          </w:tcPr>
          <w:p>
            <w:pPr>
              <w:jc w:val="center"/>
              <w:rPr>
                <w:rFonts w:hAnsi="宋体" w:cs="宋体"/>
                <w:b/>
                <w:sz w:val="22"/>
              </w:rPr>
            </w:pPr>
            <w:r>
              <w:rPr>
                <w:rFonts w:hint="eastAsia" w:hAnsi="宋体" w:cs="宋体"/>
                <w:b/>
                <w:sz w:val="22"/>
              </w:rPr>
              <w:t>评分标准</w:t>
            </w:r>
          </w:p>
        </w:tc>
        <w:tc>
          <w:tcPr>
            <w:tcW w:w="1876" w:type="dxa"/>
            <w:vAlign w:val="center"/>
          </w:tcPr>
          <w:p>
            <w:pPr>
              <w:rPr>
                <w:rFonts w:hAnsi="宋体" w:cs="宋体"/>
                <w:b/>
                <w:sz w:val="22"/>
              </w:rPr>
            </w:pPr>
          </w:p>
        </w:tc>
        <w:tc>
          <w:tcPr>
            <w:tcW w:w="765" w:type="dxa"/>
            <w:vAlign w:val="center"/>
          </w:tcPr>
          <w:p>
            <w:pPr>
              <w:rPr>
                <w:rFonts w:hAnsi="宋体" w:cs="宋体"/>
                <w:b/>
                <w:sz w:val="22"/>
              </w:rPr>
            </w:pPr>
            <w:r>
              <w:rPr>
                <w:rFonts w:hint="eastAsia" w:hAnsi="宋体" w:cs="宋体"/>
                <w:b/>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8" w:type="dxa"/>
            <w:vAlign w:val="center"/>
          </w:tcPr>
          <w:p>
            <w:pPr>
              <w:rPr>
                <w:rFonts w:hAnsi="宋体" w:cs="宋体"/>
                <w:sz w:val="22"/>
              </w:rPr>
            </w:pPr>
            <w:r>
              <w:rPr>
                <w:rFonts w:hint="eastAsia" w:hAnsi="宋体" w:cs="宋体"/>
                <w:sz w:val="22"/>
              </w:rPr>
              <w:t>报价（</w:t>
            </w:r>
            <w:r>
              <w:rPr>
                <w:rFonts w:hint="eastAsia" w:hAnsi="宋体" w:cs="宋体"/>
                <w:sz w:val="22"/>
                <w:lang w:val="en-US" w:eastAsia="zh-CN"/>
              </w:rPr>
              <w:t>25</w:t>
            </w:r>
            <w:r>
              <w:rPr>
                <w:rFonts w:hint="eastAsia" w:hAnsi="宋体" w:cs="宋体"/>
                <w:sz w:val="22"/>
              </w:rPr>
              <w:t>分）</w:t>
            </w:r>
          </w:p>
        </w:tc>
        <w:tc>
          <w:tcPr>
            <w:tcW w:w="4627" w:type="dxa"/>
            <w:gridSpan w:val="2"/>
            <w:vAlign w:val="center"/>
          </w:tcPr>
          <w:p>
            <w:pPr>
              <w:rPr>
                <w:rFonts w:hAnsi="宋体" w:cs="宋体"/>
                <w:sz w:val="22"/>
              </w:rPr>
            </w:pPr>
            <w:r>
              <w:rPr>
                <w:rFonts w:hint="eastAsia" w:hAnsi="宋体" w:cs="宋体"/>
                <w:sz w:val="22"/>
              </w:rPr>
              <w:t>满足磋商文件要求且最后报价最低的供应商的价格为磋商基准价，其价格分为满分，其他磋商报价得分=（磋商基准价/最后磋商报价）×权值</w:t>
            </w:r>
          </w:p>
        </w:tc>
        <w:tc>
          <w:tcPr>
            <w:tcW w:w="1876" w:type="dxa"/>
            <w:vAlign w:val="center"/>
          </w:tcPr>
          <w:p>
            <w:pPr>
              <w:rPr>
                <w:rFonts w:hAnsi="宋体" w:cs="宋体"/>
                <w:sz w:val="22"/>
              </w:rPr>
            </w:pPr>
            <w:r>
              <w:rPr>
                <w:rFonts w:hint="eastAsia" w:hAnsi="宋体" w:cs="宋体"/>
                <w:sz w:val="22"/>
              </w:rPr>
              <w:t>根据川财采[2015]33号文，对供应商的失信行为给予10%/次的报价累加加成，用调整后的价格参与评审。</w:t>
            </w:r>
          </w:p>
        </w:tc>
        <w:tc>
          <w:tcPr>
            <w:tcW w:w="765" w:type="dxa"/>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48" w:type="dxa"/>
            <w:vMerge w:val="restart"/>
            <w:vAlign w:val="center"/>
          </w:tcPr>
          <w:p>
            <w:pPr>
              <w:rPr>
                <w:rFonts w:hAnsi="宋体" w:cs="宋体"/>
                <w:sz w:val="22"/>
              </w:rPr>
            </w:pPr>
            <w:r>
              <w:rPr>
                <w:rFonts w:hint="eastAsia" w:hAnsi="宋体" w:cs="宋体"/>
                <w:sz w:val="22"/>
              </w:rPr>
              <w:t>施工组织设计（</w:t>
            </w:r>
            <w:r>
              <w:rPr>
                <w:rFonts w:hint="eastAsia" w:hAnsi="宋体" w:cs="宋体"/>
                <w:sz w:val="22"/>
                <w:lang w:val="en-US" w:eastAsia="zh-CN"/>
              </w:rPr>
              <w:t>30</w:t>
            </w:r>
            <w:r>
              <w:rPr>
                <w:rFonts w:hint="eastAsia" w:hAnsi="宋体" w:cs="宋体"/>
                <w:sz w:val="22"/>
              </w:rPr>
              <w:t>分）</w:t>
            </w:r>
          </w:p>
        </w:tc>
        <w:tc>
          <w:tcPr>
            <w:tcW w:w="1099" w:type="dxa"/>
            <w:vAlign w:val="center"/>
          </w:tcPr>
          <w:p>
            <w:pPr>
              <w:rPr>
                <w:rFonts w:hAnsi="宋体" w:cs="宋体"/>
                <w:sz w:val="22"/>
              </w:rPr>
            </w:pPr>
            <w:r>
              <w:rPr>
                <w:rFonts w:hint="eastAsia" w:hAnsi="宋体" w:cs="宋体"/>
                <w:sz w:val="22"/>
              </w:rPr>
              <w:t>施工方案与技术措施（5分）</w:t>
            </w:r>
          </w:p>
        </w:tc>
        <w:tc>
          <w:tcPr>
            <w:tcW w:w="3528" w:type="dxa"/>
            <w:vAlign w:val="center"/>
          </w:tcPr>
          <w:p>
            <w:pPr>
              <w:rPr>
                <w:rFonts w:hAnsi="宋体" w:cs="宋体"/>
                <w:sz w:val="22"/>
              </w:rPr>
            </w:pPr>
            <w:r>
              <w:rPr>
                <w:rFonts w:hint="eastAsia" w:hAnsi="宋体" w:cs="宋体"/>
                <w:sz w:val="22"/>
              </w:rPr>
              <w:t>对投标人针对本项目的施工方案与技术措施在项目管理、施工质量保证等方面进行评审：方案齐全、合理的得1-5分，未提供不得分。</w:t>
            </w:r>
          </w:p>
        </w:tc>
        <w:tc>
          <w:tcPr>
            <w:tcW w:w="1876" w:type="dxa"/>
            <w:vMerge w:val="restart"/>
            <w:vAlign w:val="center"/>
          </w:tcPr>
          <w:p>
            <w:pPr>
              <w:rPr>
                <w:rFonts w:hAnsi="宋体" w:cs="宋体"/>
                <w:sz w:val="22"/>
              </w:rPr>
            </w:pPr>
            <w:r>
              <w:rPr>
                <w:rFonts w:hint="eastAsia" w:hAnsi="宋体" w:cs="宋体"/>
                <w:sz w:val="22"/>
              </w:rPr>
              <w:t>/</w:t>
            </w:r>
          </w:p>
        </w:tc>
        <w:tc>
          <w:tcPr>
            <w:tcW w:w="765" w:type="dxa"/>
            <w:vMerge w:val="restart"/>
            <w:vAlign w:val="center"/>
          </w:tcPr>
          <w:p>
            <w:pPr>
              <w:rPr>
                <w:rFonts w:hAnsi="宋体" w:cs="宋体"/>
                <w:sz w:val="22"/>
              </w:rPr>
            </w:pPr>
            <w:r>
              <w:rPr>
                <w:rFonts w:hint="eastAsia" w:hAnsi="宋体" w:cs="宋体"/>
                <w:sz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质量管理体系与措施（5分）</w:t>
            </w:r>
          </w:p>
        </w:tc>
        <w:tc>
          <w:tcPr>
            <w:tcW w:w="3528" w:type="dxa"/>
            <w:vAlign w:val="center"/>
          </w:tcPr>
          <w:p>
            <w:pPr>
              <w:rPr>
                <w:rFonts w:hAnsi="宋体" w:cs="宋体"/>
                <w:sz w:val="22"/>
              </w:rPr>
            </w:pPr>
            <w:r>
              <w:rPr>
                <w:rFonts w:hint="eastAsia" w:hAnsi="宋体" w:cs="宋体"/>
                <w:sz w:val="22"/>
              </w:rPr>
              <w:t>对投标人针对本项目的质量管理体系与措施在完整性、科学性以及针对性等方面进行评审：方案齐全、合理的得1-5分，未提供不得分，未提供不得分。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安全管理体系与措施（5分）</w:t>
            </w:r>
          </w:p>
        </w:tc>
        <w:tc>
          <w:tcPr>
            <w:tcW w:w="3528" w:type="dxa"/>
            <w:vAlign w:val="center"/>
          </w:tcPr>
          <w:p>
            <w:pPr>
              <w:rPr>
                <w:rFonts w:hAnsi="宋体" w:cs="宋体"/>
                <w:sz w:val="22"/>
              </w:rPr>
            </w:pPr>
            <w:r>
              <w:rPr>
                <w:rFonts w:hint="eastAsia" w:hAnsi="宋体" w:cs="宋体"/>
                <w:sz w:val="22"/>
              </w:rPr>
              <w:t>对投标人针对本项目的安全管理体系与措施在全面性、完整性、针对性以及安全教育培训、安全防护等方面进行评审：方案齐全、合理的得1-5分，未提供不得分，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环境保护管理体系与措施（5分）</w:t>
            </w:r>
          </w:p>
        </w:tc>
        <w:tc>
          <w:tcPr>
            <w:tcW w:w="3528" w:type="dxa"/>
            <w:vAlign w:val="center"/>
          </w:tcPr>
          <w:p>
            <w:pPr>
              <w:rPr>
                <w:rFonts w:hAnsi="宋体" w:cs="宋体"/>
                <w:sz w:val="22"/>
              </w:rPr>
            </w:pPr>
            <w:r>
              <w:rPr>
                <w:rFonts w:hint="eastAsia" w:hAnsi="宋体" w:cs="宋体"/>
                <w:sz w:val="22"/>
              </w:rPr>
              <w:t>对投标人针对本项目的环境保护管理体系与措施在全面性、完整性、针对性以及污染物处理、污染物排放、技术管理手段等方面进行评审：方案齐全、合理的得1-5分，未提供不得分。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工程进度计划与措施（5分）</w:t>
            </w:r>
          </w:p>
        </w:tc>
        <w:tc>
          <w:tcPr>
            <w:tcW w:w="3528" w:type="dxa"/>
            <w:vAlign w:val="center"/>
          </w:tcPr>
          <w:p>
            <w:pPr>
              <w:rPr>
                <w:rFonts w:hAnsi="宋体" w:cs="宋体"/>
                <w:sz w:val="22"/>
              </w:rPr>
            </w:pPr>
            <w:r>
              <w:rPr>
                <w:rFonts w:hint="eastAsia" w:hAnsi="宋体" w:cs="宋体"/>
                <w:sz w:val="22"/>
              </w:rPr>
              <w:t>对投标人针对本项目的工程进度计划与措施在高效性、合理性、科学性以及工期保障等方面进行评审：方案齐全、合理的得1-5分，未提供不得分。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48" w:type="dxa"/>
            <w:vMerge w:val="continue"/>
            <w:vAlign w:val="center"/>
          </w:tcPr>
          <w:p>
            <w:pPr>
              <w:rPr>
                <w:rFonts w:hAnsi="宋体" w:cs="宋体"/>
                <w:sz w:val="22"/>
              </w:rPr>
            </w:pPr>
          </w:p>
        </w:tc>
        <w:tc>
          <w:tcPr>
            <w:tcW w:w="1099" w:type="dxa"/>
            <w:vAlign w:val="center"/>
          </w:tcPr>
          <w:p>
            <w:pPr>
              <w:rPr>
                <w:rFonts w:hAnsi="宋体" w:cs="宋体"/>
                <w:sz w:val="22"/>
              </w:rPr>
            </w:pPr>
            <w:r>
              <w:rPr>
                <w:rFonts w:hint="eastAsia" w:hAnsi="宋体" w:cs="宋体"/>
                <w:sz w:val="22"/>
              </w:rPr>
              <w:t>资源配备计划（5分）</w:t>
            </w:r>
          </w:p>
        </w:tc>
        <w:tc>
          <w:tcPr>
            <w:tcW w:w="3528" w:type="dxa"/>
            <w:vAlign w:val="top"/>
          </w:tcPr>
          <w:p>
            <w:pPr>
              <w:rPr>
                <w:rFonts w:hAnsi="宋体" w:cs="宋体"/>
                <w:sz w:val="22"/>
              </w:rPr>
            </w:pPr>
            <w:r>
              <w:rPr>
                <w:rFonts w:hint="eastAsia" w:hAnsi="宋体" w:cs="宋体"/>
                <w:sz w:val="22"/>
              </w:rPr>
              <w:t>对投标人针对本项目的资源配备计划在人员配备及相关设施设备投入的合理性、科学性以及对项目工程进度的保障性等方面进行评审：方案齐全、合理的得1-5分，未提供不得分。</w:t>
            </w:r>
          </w:p>
        </w:tc>
        <w:tc>
          <w:tcPr>
            <w:tcW w:w="1876"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148" w:type="dxa"/>
            <w:vAlign w:val="center"/>
          </w:tcPr>
          <w:p>
            <w:pPr>
              <w:rPr>
                <w:rFonts w:hAnsi="宋体" w:eastAsia="等线" w:cs="宋体"/>
                <w:sz w:val="22"/>
              </w:rPr>
            </w:pPr>
            <w:r>
              <w:rPr>
                <w:rFonts w:hint="eastAsia" w:ascii="宋体" w:hAnsi="宋体" w:cs="宋体"/>
                <w:sz w:val="24"/>
              </w:rPr>
              <w:t>主要人员配置（</w:t>
            </w:r>
            <w:r>
              <w:rPr>
                <w:rFonts w:hint="eastAsia" w:ascii="宋体" w:hAnsi="宋体" w:cs="宋体"/>
                <w:sz w:val="24"/>
                <w:lang w:val="en-US" w:eastAsia="zh-CN"/>
              </w:rPr>
              <w:t>15</w:t>
            </w:r>
            <w:r>
              <w:rPr>
                <w:rFonts w:hint="eastAsia" w:ascii="宋体" w:hAnsi="宋体" w:cs="宋体"/>
                <w:sz w:val="24"/>
              </w:rPr>
              <w:t>分）</w:t>
            </w:r>
          </w:p>
        </w:tc>
        <w:tc>
          <w:tcPr>
            <w:tcW w:w="4627" w:type="dxa"/>
            <w:gridSpan w:val="2"/>
            <w:vAlign w:val="center"/>
          </w:tcPr>
          <w:p>
            <w:pPr>
              <w:tabs>
                <w:tab w:val="left" w:pos="360"/>
              </w:tabs>
              <w:spacing w:line="360" w:lineRule="auto"/>
              <w:rPr>
                <w:rFonts w:hAnsi="宋体" w:cs="宋体"/>
                <w:sz w:val="22"/>
              </w:rPr>
            </w:pPr>
            <w:r>
              <w:rPr>
                <w:rFonts w:hint="eastAsia" w:hAnsi="宋体" w:cs="宋体"/>
                <w:sz w:val="22"/>
              </w:rPr>
              <w:t>主要人员配置：</w:t>
            </w:r>
          </w:p>
          <w:p>
            <w:pPr>
              <w:rPr>
                <w:rFonts w:hAnsi="宋体" w:cs="宋体"/>
                <w:sz w:val="22"/>
              </w:rPr>
            </w:pPr>
            <w:r>
              <w:rPr>
                <w:rFonts w:hint="eastAsia" w:hAnsi="宋体" w:cs="宋体"/>
                <w:sz w:val="22"/>
              </w:rPr>
              <w:t xml:space="preserve">1、项目经理：具有二级及以上建造师资格（专业： 建筑工程）并同时具有安全生产考核合格 B 证得 </w:t>
            </w:r>
            <w:r>
              <w:rPr>
                <w:rFonts w:hint="eastAsia" w:hAnsi="宋体" w:cs="宋体"/>
                <w:sz w:val="22"/>
                <w:lang w:val="en-US" w:eastAsia="zh-CN"/>
              </w:rPr>
              <w:t>5</w:t>
            </w:r>
            <w:r>
              <w:rPr>
                <w:rFonts w:hint="eastAsia" w:hAnsi="宋体" w:cs="宋体"/>
                <w:sz w:val="22"/>
              </w:rPr>
              <w:t>分，</w:t>
            </w:r>
            <w:r>
              <w:rPr>
                <w:rFonts w:hAnsi="宋体" w:cs="宋体"/>
                <w:sz w:val="22"/>
              </w:rPr>
              <w:t xml:space="preserve"> </w:t>
            </w:r>
          </w:p>
          <w:p>
            <w:pPr>
              <w:rPr>
                <w:rFonts w:hAnsi="宋体" w:cs="宋体"/>
                <w:sz w:val="22"/>
              </w:rPr>
            </w:pPr>
            <w:r>
              <w:rPr>
                <w:rFonts w:hint="eastAsia" w:hAnsi="宋体" w:cs="宋体"/>
                <w:sz w:val="22"/>
              </w:rPr>
              <w:t>2、技术负责人：具有中级职称得</w:t>
            </w:r>
            <w:r>
              <w:rPr>
                <w:rFonts w:hint="eastAsia" w:hAnsi="宋体" w:cs="宋体"/>
                <w:sz w:val="22"/>
                <w:lang w:val="en-US" w:eastAsia="zh-CN"/>
              </w:rPr>
              <w:t>4</w:t>
            </w:r>
            <w:r>
              <w:rPr>
                <w:rFonts w:hint="eastAsia" w:hAnsi="宋体" w:cs="宋体"/>
                <w:sz w:val="22"/>
              </w:rPr>
              <w:t>分，此项最多得</w:t>
            </w:r>
            <w:r>
              <w:rPr>
                <w:rFonts w:hint="eastAsia" w:hAnsi="宋体" w:cs="宋体"/>
                <w:sz w:val="22"/>
                <w:lang w:val="en-US" w:eastAsia="zh-CN"/>
              </w:rPr>
              <w:t>4</w:t>
            </w:r>
            <w:r>
              <w:rPr>
                <w:rFonts w:hint="eastAsia" w:hAnsi="宋体" w:cs="宋体"/>
                <w:sz w:val="22"/>
              </w:rPr>
              <w:t xml:space="preserve">分； </w:t>
            </w:r>
          </w:p>
          <w:p>
            <w:pPr>
              <w:rPr>
                <w:rFonts w:hAnsi="宋体" w:cs="宋体"/>
                <w:sz w:val="22"/>
              </w:rPr>
            </w:pPr>
            <w:r>
              <w:rPr>
                <w:rFonts w:hint="eastAsia" w:hAnsi="宋体" w:cs="宋体"/>
                <w:sz w:val="22"/>
              </w:rPr>
              <w:t>3、拟配其他人员：施工员、资料员、造价员、材料员、质量员、安全员（具有有效安全生产考核合格C证）配备齐全得6分，每少一项</w:t>
            </w:r>
            <w:r>
              <w:rPr>
                <w:rFonts w:hint="eastAsia" w:hAnsi="宋体" w:cs="宋体"/>
                <w:sz w:val="22"/>
                <w:lang w:val="en-US" w:eastAsia="zh-CN"/>
              </w:rPr>
              <w:t>扣1分</w:t>
            </w:r>
            <w:bookmarkStart w:id="0" w:name="_GoBack"/>
            <w:bookmarkEnd w:id="0"/>
            <w:r>
              <w:rPr>
                <w:rFonts w:hint="eastAsia" w:hAnsi="宋体" w:cs="宋体"/>
                <w:sz w:val="22"/>
              </w:rPr>
              <w:t>；</w:t>
            </w:r>
          </w:p>
          <w:p>
            <w:pPr>
              <w:rPr>
                <w:rFonts w:ascii="宋体" w:hAnsi="宋体" w:cs="宋体"/>
                <w:sz w:val="22"/>
              </w:rPr>
            </w:pPr>
            <w:r>
              <w:rPr>
                <w:rFonts w:hint="eastAsia" w:hAnsi="宋体" w:cs="宋体"/>
                <w:sz w:val="22"/>
              </w:rPr>
              <w:t>此项最多得</w:t>
            </w:r>
            <w:r>
              <w:rPr>
                <w:rFonts w:hint="eastAsia" w:hAnsi="宋体" w:cs="宋体"/>
                <w:sz w:val="22"/>
                <w:lang w:val="en-US" w:eastAsia="zh-CN"/>
              </w:rPr>
              <w:t>15</w:t>
            </w:r>
            <w:r>
              <w:rPr>
                <w:rFonts w:hint="eastAsia" w:hAnsi="宋体" w:cs="宋体"/>
                <w:sz w:val="22"/>
              </w:rPr>
              <w:t>分。</w:t>
            </w:r>
            <w:r>
              <w:rPr>
                <w:rFonts w:hint="eastAsia" w:ascii="宋体" w:hAnsi="宋体" w:cs="宋体"/>
                <w:sz w:val="22"/>
              </w:rPr>
              <w:t xml:space="preserve"> </w:t>
            </w:r>
          </w:p>
          <w:p>
            <w:pPr>
              <w:widowControl/>
              <w:jc w:val="left"/>
              <w:textAlignment w:val="center"/>
              <w:rPr>
                <w:rFonts w:hAnsi="宋体" w:cs="宋体"/>
                <w:sz w:val="22"/>
              </w:rPr>
            </w:pPr>
          </w:p>
        </w:tc>
        <w:tc>
          <w:tcPr>
            <w:tcW w:w="1876" w:type="dxa"/>
            <w:vAlign w:val="center"/>
          </w:tcPr>
          <w:p>
            <w:pPr>
              <w:rPr>
                <w:rFonts w:hAnsi="宋体" w:cs="宋体"/>
                <w:sz w:val="22"/>
              </w:rPr>
            </w:pPr>
            <w:r>
              <w:rPr>
                <w:rFonts w:hint="eastAsia" w:hAnsi="宋体" w:cs="宋体"/>
                <w:sz w:val="22"/>
              </w:rPr>
              <w:t>综合评分因素</w:t>
            </w:r>
          </w:p>
        </w:tc>
        <w:tc>
          <w:tcPr>
            <w:tcW w:w="765" w:type="dxa"/>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48" w:type="dxa"/>
            <w:vAlign w:val="center"/>
          </w:tcPr>
          <w:p>
            <w:pPr>
              <w:rPr>
                <w:rFonts w:hAnsi="宋体" w:cs="宋体"/>
                <w:sz w:val="22"/>
              </w:rPr>
            </w:pPr>
            <w:r>
              <w:rPr>
                <w:rFonts w:hint="eastAsia" w:hAnsi="宋体" w:cs="宋体"/>
                <w:sz w:val="22"/>
              </w:rPr>
              <w:t>业绩（2</w:t>
            </w:r>
            <w:r>
              <w:rPr>
                <w:rFonts w:hint="eastAsia" w:hAnsi="宋体" w:cs="宋体"/>
                <w:sz w:val="22"/>
                <w:lang w:val="en-US" w:eastAsia="zh-CN"/>
              </w:rPr>
              <w:t>5</w:t>
            </w:r>
            <w:r>
              <w:rPr>
                <w:rFonts w:hint="eastAsia" w:hAnsi="宋体" w:cs="宋体"/>
                <w:sz w:val="22"/>
              </w:rPr>
              <w:t>分）</w:t>
            </w:r>
          </w:p>
        </w:tc>
        <w:tc>
          <w:tcPr>
            <w:tcW w:w="4627" w:type="dxa"/>
            <w:gridSpan w:val="2"/>
            <w:vAlign w:val="center"/>
          </w:tcPr>
          <w:p>
            <w:pPr>
              <w:rPr>
                <w:rFonts w:ascii="宋体" w:hAnsi="宋体" w:cs="宋体"/>
                <w:sz w:val="22"/>
              </w:rPr>
            </w:pPr>
            <w:r>
              <w:rPr>
                <w:rFonts w:hint="eastAsia" w:ascii="宋体" w:hAnsi="宋体" w:cs="宋体"/>
                <w:sz w:val="22"/>
              </w:rPr>
              <w:t>投标人2018年1月1日以来，每具有1个已完成类似项目业绩的得5分，最高得2</w:t>
            </w:r>
            <w:r>
              <w:rPr>
                <w:rFonts w:hint="eastAsia" w:ascii="宋体" w:hAnsi="宋体" w:cs="宋体"/>
                <w:sz w:val="22"/>
                <w:lang w:val="en-US" w:eastAsia="zh-CN"/>
              </w:rPr>
              <w:t>5</w:t>
            </w:r>
            <w:r>
              <w:rPr>
                <w:rFonts w:hint="eastAsia" w:ascii="宋体" w:hAnsi="宋体" w:cs="宋体"/>
                <w:sz w:val="22"/>
              </w:rPr>
              <w:t>分。</w:t>
            </w:r>
          </w:p>
          <w:p>
            <w:pPr>
              <w:rPr>
                <w:rFonts w:hAnsi="宋体" w:cs="宋体"/>
                <w:sz w:val="22"/>
              </w:rPr>
            </w:pPr>
            <w:r>
              <w:rPr>
                <w:rFonts w:hint="eastAsia" w:ascii="宋体" w:hAnsi="宋体" w:cs="宋体"/>
                <w:sz w:val="22"/>
              </w:rPr>
              <w:t>注：同一项目不重复计分，提供中标/成交通知书或合同复印件及验收合格报告并加盖投标人公章，否则相应得分项不得分，时间以竣工验收报告为准。</w:t>
            </w:r>
          </w:p>
        </w:tc>
        <w:tc>
          <w:tcPr>
            <w:tcW w:w="1876" w:type="dxa"/>
            <w:vAlign w:val="center"/>
          </w:tcPr>
          <w:p>
            <w:pPr>
              <w:rPr>
                <w:rFonts w:hAnsi="宋体" w:cs="宋体"/>
                <w:sz w:val="22"/>
              </w:rPr>
            </w:pPr>
            <w:r>
              <w:rPr>
                <w:rFonts w:hint="eastAsia" w:hAnsi="宋体" w:cs="宋体"/>
                <w:sz w:val="22"/>
              </w:rPr>
              <w:t>提供合同或中标通知书复印件</w:t>
            </w:r>
          </w:p>
        </w:tc>
        <w:tc>
          <w:tcPr>
            <w:tcW w:w="765" w:type="dxa"/>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148" w:type="dxa"/>
            <w:vAlign w:val="center"/>
          </w:tcPr>
          <w:p>
            <w:pPr>
              <w:rPr>
                <w:rFonts w:hAnsi="宋体" w:cs="宋体"/>
                <w:sz w:val="22"/>
              </w:rPr>
            </w:pPr>
            <w:r>
              <w:rPr>
                <w:rFonts w:hint="eastAsia" w:hAnsi="宋体" w:cs="宋体"/>
                <w:sz w:val="22"/>
              </w:rPr>
              <w:t>节能、环境标志、无线局域网产品（</w:t>
            </w:r>
            <w:r>
              <w:rPr>
                <w:rFonts w:hint="eastAsia" w:hAnsi="宋体" w:cs="宋体"/>
                <w:sz w:val="22"/>
                <w:lang w:val="en-US" w:eastAsia="zh-CN"/>
              </w:rPr>
              <w:t>5</w:t>
            </w:r>
            <w:r>
              <w:rPr>
                <w:rFonts w:hint="eastAsia" w:hAnsi="宋体" w:cs="宋体"/>
                <w:sz w:val="22"/>
              </w:rPr>
              <w:t>分）</w:t>
            </w:r>
          </w:p>
        </w:tc>
        <w:tc>
          <w:tcPr>
            <w:tcW w:w="4627" w:type="dxa"/>
            <w:gridSpan w:val="2"/>
            <w:vAlign w:val="center"/>
          </w:tcPr>
          <w:p>
            <w:pPr>
              <w:rPr>
                <w:rFonts w:hAnsi="宋体" w:cs="宋体"/>
                <w:sz w:val="22"/>
              </w:rPr>
            </w:pPr>
            <w:r>
              <w:rPr>
                <w:rFonts w:hint="eastAsia" w:hAnsi="宋体" w:cs="宋体"/>
                <w:sz w:val="22"/>
              </w:rPr>
              <w:t>供应商响应产品中每有一项为节能产品或者环境标志产品或者无线局域网产品政府采购清单中的产品的得</w:t>
            </w:r>
            <w:r>
              <w:rPr>
                <w:rFonts w:hint="eastAsia" w:hAnsi="宋体" w:cs="宋体"/>
                <w:sz w:val="22"/>
                <w:lang w:val="en-US" w:eastAsia="zh-CN"/>
              </w:rPr>
              <w:t>1</w:t>
            </w:r>
            <w:r>
              <w:rPr>
                <w:rFonts w:hint="eastAsia" w:hAnsi="宋体" w:cs="宋体"/>
                <w:sz w:val="22"/>
              </w:rPr>
              <w:t>分，非政府采购节能、环境标志产品的、无线局域网产品的不得分。本项最多得</w:t>
            </w:r>
            <w:r>
              <w:rPr>
                <w:rFonts w:hint="eastAsia" w:hAnsi="宋体" w:cs="宋体"/>
                <w:sz w:val="22"/>
                <w:lang w:val="en-US" w:eastAsia="zh-CN"/>
              </w:rPr>
              <w:t>5</w:t>
            </w:r>
            <w:r>
              <w:rPr>
                <w:rFonts w:hint="eastAsia" w:hAnsi="宋体" w:cs="宋体"/>
                <w:sz w:val="22"/>
              </w:rPr>
              <w:t>分。</w:t>
            </w:r>
          </w:p>
        </w:tc>
        <w:tc>
          <w:tcPr>
            <w:tcW w:w="1876" w:type="dxa"/>
            <w:vAlign w:val="center"/>
          </w:tcPr>
          <w:p>
            <w:pPr>
              <w:rPr>
                <w:rFonts w:hAnsi="宋体" w:cs="宋体"/>
                <w:sz w:val="22"/>
              </w:rPr>
            </w:pPr>
            <w:r>
              <w:rPr>
                <w:rFonts w:hint="eastAsia" w:hAnsi="宋体" w:cs="宋体"/>
                <w:sz w:val="22"/>
              </w:rPr>
              <w:t>提供产品对应的清单复印件，以《中国政府采购网》最新颁布清单为准。</w:t>
            </w:r>
          </w:p>
        </w:tc>
        <w:tc>
          <w:tcPr>
            <w:tcW w:w="765" w:type="dxa"/>
            <w:vAlign w:val="center"/>
          </w:tcPr>
          <w:p>
            <w:pPr>
              <w:rPr>
                <w:rFonts w:hAnsi="宋体" w:cs="宋体"/>
                <w:sz w:val="22"/>
              </w:rPr>
            </w:pPr>
            <w:r>
              <w:rPr>
                <w:rFonts w:hint="eastAsia" w:hAnsi="宋体" w:cs="宋体"/>
                <w:sz w:val="22"/>
              </w:rPr>
              <w:t>政策合同类评分因素</w:t>
            </w:r>
          </w:p>
        </w:tc>
      </w:tr>
    </w:tbl>
    <w:p>
      <w:pPr>
        <w:spacing w:line="400" w:lineRule="exact"/>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附件2： </w:t>
      </w: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主要表格格式</w:t>
      </w:r>
    </w:p>
    <w:p>
      <w:pPr>
        <w:pStyle w:val="2"/>
        <w:rPr>
          <w:rFonts w:hint="default"/>
          <w:lang w:val="en-US" w:eastAsia="zh-CN"/>
        </w:rPr>
      </w:pPr>
    </w:p>
    <w:p>
      <w:pPr>
        <w:spacing w:line="0" w:lineRule="atLeast"/>
        <w:jc w:val="center"/>
        <w:rPr>
          <w:rFonts w:hint="eastAsia" w:ascii="仿宋" w:hAnsi="仿宋" w:eastAsia="仿宋" w:cs="仿宋"/>
          <w:sz w:val="28"/>
        </w:rPr>
      </w:pPr>
      <w:r>
        <w:rPr>
          <w:rFonts w:hint="eastAsia" w:ascii="仿宋" w:hAnsi="仿宋" w:eastAsia="仿宋" w:cs="仿宋"/>
          <w:b/>
          <w:bCs/>
          <w:sz w:val="28"/>
          <w:szCs w:val="28"/>
        </w:rPr>
        <w:t>报价一览表</w:t>
      </w:r>
      <w:r>
        <w:rPr>
          <w:rFonts w:hint="eastAsia" w:ascii="仿宋" w:hAnsi="仿宋" w:eastAsia="仿宋" w:cs="仿宋"/>
          <w:sz w:val="24"/>
        </w:rPr>
        <w:t xml:space="preserve"> </w:t>
      </w:r>
      <w:r>
        <w:rPr>
          <w:rFonts w:hint="eastAsia" w:ascii="仿宋" w:hAnsi="仿宋" w:eastAsia="仿宋" w:cs="仿宋"/>
          <w:sz w:val="28"/>
        </w:rPr>
        <w:t xml:space="preserve">                    </w:t>
      </w:r>
    </w:p>
    <w:tbl>
      <w:tblPr>
        <w:tblStyle w:val="6"/>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1136"/>
        <w:gridCol w:w="1143"/>
        <w:gridCol w:w="136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2" w:type="dxa"/>
            <w:vAlign w:val="center"/>
          </w:tcPr>
          <w:p>
            <w:pPr>
              <w:spacing w:line="400" w:lineRule="exact"/>
              <w:jc w:val="center"/>
              <w:rPr>
                <w:rFonts w:hint="eastAsia" w:ascii="仿宋" w:hAnsi="仿宋" w:eastAsia="仿宋" w:cs="仿宋"/>
                <w:szCs w:val="21"/>
              </w:rPr>
            </w:pPr>
            <w:r>
              <w:rPr>
                <w:rFonts w:hint="eastAsia" w:ascii="仿宋" w:hAnsi="仿宋" w:eastAsia="仿宋" w:cs="仿宋"/>
                <w:bCs/>
                <w:szCs w:val="21"/>
              </w:rPr>
              <w:t>序号</w:t>
            </w:r>
          </w:p>
        </w:tc>
        <w:tc>
          <w:tcPr>
            <w:tcW w:w="1278" w:type="dxa"/>
            <w:vAlign w:val="center"/>
          </w:tcPr>
          <w:p>
            <w:pPr>
              <w:spacing w:line="400" w:lineRule="exact"/>
              <w:jc w:val="center"/>
              <w:rPr>
                <w:rFonts w:hint="eastAsia" w:ascii="仿宋" w:hAnsi="仿宋" w:eastAsia="仿宋" w:cs="仿宋"/>
                <w:szCs w:val="21"/>
              </w:rPr>
            </w:pPr>
            <w:r>
              <w:rPr>
                <w:rFonts w:hint="eastAsia" w:ascii="仿宋" w:hAnsi="仿宋" w:eastAsia="仿宋" w:cs="仿宋"/>
                <w:bCs/>
                <w:szCs w:val="21"/>
              </w:rPr>
              <w:t>设计子项</w:t>
            </w:r>
          </w:p>
        </w:tc>
        <w:tc>
          <w:tcPr>
            <w:tcW w:w="1136"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金额</w:t>
            </w:r>
          </w:p>
        </w:tc>
        <w:tc>
          <w:tcPr>
            <w:tcW w:w="114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数量</w:t>
            </w:r>
          </w:p>
        </w:tc>
        <w:tc>
          <w:tcPr>
            <w:tcW w:w="1363"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总价</w:t>
            </w:r>
          </w:p>
        </w:tc>
        <w:tc>
          <w:tcPr>
            <w:tcW w:w="2508" w:type="dxa"/>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Align w:val="center"/>
          </w:tcPr>
          <w:p>
            <w:pPr>
              <w:spacing w:line="400" w:lineRule="exact"/>
              <w:jc w:val="center"/>
              <w:rPr>
                <w:rFonts w:hint="eastAsia" w:ascii="仿宋" w:hAnsi="仿宋" w:eastAsia="仿宋" w:cs="仿宋"/>
                <w:sz w:val="28"/>
              </w:rPr>
            </w:pPr>
          </w:p>
        </w:tc>
        <w:tc>
          <w:tcPr>
            <w:tcW w:w="1278" w:type="dxa"/>
            <w:vAlign w:val="center"/>
          </w:tcPr>
          <w:p>
            <w:pPr>
              <w:spacing w:line="400" w:lineRule="exact"/>
              <w:jc w:val="center"/>
              <w:rPr>
                <w:rFonts w:hint="eastAsia" w:ascii="仿宋" w:hAnsi="仿宋" w:eastAsia="仿宋" w:cs="仿宋"/>
                <w:sz w:val="28"/>
              </w:rPr>
            </w:pPr>
          </w:p>
        </w:tc>
        <w:tc>
          <w:tcPr>
            <w:tcW w:w="1136" w:type="dxa"/>
            <w:vAlign w:val="center"/>
          </w:tcPr>
          <w:p>
            <w:pPr>
              <w:spacing w:line="400" w:lineRule="exact"/>
              <w:jc w:val="center"/>
              <w:rPr>
                <w:rFonts w:hint="eastAsia" w:ascii="仿宋" w:hAnsi="仿宋" w:eastAsia="仿宋" w:cs="仿宋"/>
                <w:sz w:val="28"/>
              </w:rPr>
            </w:pPr>
          </w:p>
        </w:tc>
        <w:tc>
          <w:tcPr>
            <w:tcW w:w="1143" w:type="dxa"/>
            <w:vAlign w:val="center"/>
          </w:tcPr>
          <w:p>
            <w:pPr>
              <w:spacing w:line="400" w:lineRule="exact"/>
              <w:jc w:val="center"/>
              <w:rPr>
                <w:rFonts w:hint="eastAsia" w:ascii="仿宋" w:hAnsi="仿宋" w:eastAsia="仿宋" w:cs="仿宋"/>
                <w:sz w:val="28"/>
              </w:rPr>
            </w:pPr>
          </w:p>
        </w:tc>
        <w:tc>
          <w:tcPr>
            <w:tcW w:w="1363" w:type="dxa"/>
            <w:vAlign w:val="top"/>
          </w:tcPr>
          <w:p>
            <w:pPr>
              <w:spacing w:line="400" w:lineRule="exact"/>
              <w:jc w:val="center"/>
              <w:rPr>
                <w:rFonts w:hint="eastAsia" w:ascii="仿宋" w:hAnsi="仿宋" w:eastAsia="仿宋" w:cs="仿宋"/>
                <w:sz w:val="28"/>
              </w:rPr>
            </w:pPr>
          </w:p>
        </w:tc>
        <w:tc>
          <w:tcPr>
            <w:tcW w:w="2508" w:type="dxa"/>
            <w:vAlign w:val="center"/>
          </w:tcPr>
          <w:p>
            <w:pPr>
              <w:spacing w:line="400" w:lineRule="exact"/>
              <w:jc w:val="center"/>
              <w:rPr>
                <w:rFonts w:hint="eastAsia" w:ascii="仿宋" w:hAnsi="仿宋" w:eastAsia="仿宋" w:cs="仿宋"/>
                <w:sz w:val="28"/>
              </w:rPr>
            </w:pPr>
          </w:p>
        </w:tc>
      </w:tr>
    </w:tbl>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 xml:space="preserve">1.报价应是最终用户验收合格后的总价，包括现场调研、设计等在内的方案设计相关的所有费用和税费。 </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2.“报价一览表”为多页的，每页均需由法定代表人或授权代表签字并盖投标人印章。</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3.备注栏为供应商认为必要的说明事项。</w:t>
      </w:r>
    </w:p>
    <w:p>
      <w:pPr>
        <w:spacing w:line="400" w:lineRule="exact"/>
        <w:ind w:firstLine="560" w:firstLineChars="200"/>
        <w:jc w:val="left"/>
        <w:rPr>
          <w:rFonts w:hint="eastAsia" w:ascii="仿宋" w:hAnsi="仿宋" w:eastAsia="仿宋" w:cs="仿宋"/>
          <w:sz w:val="28"/>
          <w:szCs w:val="28"/>
        </w:rPr>
      </w:pP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公司名称：</w:t>
      </w:r>
      <w:r>
        <w:rPr>
          <w:rFonts w:hint="eastAsia" w:ascii="仿宋" w:hAnsi="仿宋" w:eastAsia="仿宋" w:cs="仿宋"/>
          <w:bCs/>
          <w:sz w:val="28"/>
          <w:szCs w:val="28"/>
          <w:u w:val="single"/>
        </w:rPr>
        <w:t xml:space="preserve">                                </w:t>
      </w:r>
    </w:p>
    <w:p>
      <w:pPr>
        <w:spacing w:line="0" w:lineRule="atLeast"/>
        <w:rPr>
          <w:rFonts w:hint="eastAsia" w:ascii="仿宋" w:hAnsi="仿宋" w:eastAsia="仿宋" w:cs="仿宋"/>
          <w:bCs/>
          <w:sz w:val="28"/>
          <w:szCs w:val="28"/>
          <w:u w:val="single"/>
        </w:rPr>
      </w:pPr>
      <w:r>
        <w:rPr>
          <w:rFonts w:hint="eastAsia" w:ascii="仿宋" w:hAnsi="仿宋" w:eastAsia="仿宋" w:cs="仿宋"/>
          <w:bCs/>
          <w:sz w:val="28"/>
          <w:szCs w:val="28"/>
        </w:rPr>
        <w:t>代表签字：</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联系方式：</w:t>
      </w:r>
      <w:r>
        <w:rPr>
          <w:rFonts w:hint="eastAsia" w:ascii="仿宋" w:hAnsi="仿宋" w:eastAsia="仿宋" w:cs="仿宋"/>
          <w:bCs/>
          <w:sz w:val="28"/>
          <w:szCs w:val="28"/>
          <w:u w:val="single"/>
        </w:rPr>
        <w:t xml:space="preserve">        </w:t>
      </w:r>
    </w:p>
    <w:p>
      <w:pPr>
        <w:spacing w:line="400" w:lineRule="exact"/>
        <w:rPr>
          <w:rFonts w:hint="eastAsia" w:ascii="仿宋" w:hAnsi="仿宋" w:eastAsia="仿宋" w:cs="仿宋"/>
          <w:sz w:val="28"/>
          <w:szCs w:val="28"/>
        </w:rPr>
      </w:pPr>
      <w:r>
        <w:rPr>
          <w:rFonts w:hint="eastAsia" w:ascii="仿宋" w:hAnsi="仿宋" w:eastAsia="仿宋" w:cs="仿宋"/>
          <w:sz w:val="28"/>
          <w:szCs w:val="28"/>
        </w:rPr>
        <w:t>日期：</w:t>
      </w:r>
    </w:p>
    <w:p>
      <w:pPr>
        <w:spacing w:line="0" w:lineRule="atLeast"/>
        <w:jc w:val="center"/>
        <w:rPr>
          <w:rFonts w:hint="eastAsia" w:ascii="仿宋" w:hAnsi="仿宋" w:eastAsia="仿宋" w:cs="仿宋"/>
          <w:b/>
          <w:bCs/>
          <w:sz w:val="28"/>
          <w:szCs w:val="28"/>
        </w:rPr>
      </w:pPr>
    </w:p>
    <w:p>
      <w:pPr>
        <w:spacing w:line="0" w:lineRule="atLeast"/>
        <w:jc w:val="center"/>
        <w:rPr>
          <w:rFonts w:hint="eastAsia" w:ascii="仿宋" w:hAnsi="仿宋" w:eastAsia="仿宋" w:cs="仿宋"/>
          <w:b/>
          <w:bCs/>
          <w:sz w:val="28"/>
          <w:szCs w:val="28"/>
        </w:rPr>
      </w:pPr>
    </w:p>
    <w:p>
      <w:pPr>
        <w:spacing w:line="0" w:lineRule="atLeast"/>
        <w:rPr>
          <w:rFonts w:hint="eastAsia" w:ascii="仿宋" w:hAnsi="仿宋" w:eastAsia="仿宋" w:cs="仿宋"/>
          <w:bCs/>
          <w:sz w:val="28"/>
          <w:u w:val="single"/>
        </w:rPr>
      </w:pPr>
    </w:p>
    <w:p>
      <w:pPr>
        <w:rPr>
          <w:rFonts w:hint="eastAsia" w:ascii="仿宋" w:hAnsi="仿宋" w:eastAsia="仿宋" w:cs="仿宋"/>
          <w:b/>
          <w:bCs/>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业绩表</w:t>
      </w:r>
    </w:p>
    <w:tbl>
      <w:tblPr>
        <w:tblStyle w:val="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58"/>
        <w:gridCol w:w="1559"/>
        <w:gridCol w:w="1425"/>
        <w:gridCol w:w="1617"/>
        <w:gridCol w:w="146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56" w:type="dxa"/>
            <w:vAlign w:val="top"/>
          </w:tcPr>
          <w:p>
            <w:pPr>
              <w:jc w:val="center"/>
              <w:rPr>
                <w:rFonts w:hint="eastAsia" w:ascii="仿宋" w:hAnsi="仿宋" w:eastAsia="仿宋" w:cs="仿宋"/>
                <w:sz w:val="24"/>
              </w:rPr>
            </w:pPr>
            <w:r>
              <w:rPr>
                <w:rFonts w:hint="eastAsia" w:ascii="仿宋" w:hAnsi="仿宋" w:eastAsia="仿宋" w:cs="仿宋"/>
                <w:sz w:val="24"/>
              </w:rPr>
              <w:t>序号</w:t>
            </w:r>
          </w:p>
        </w:tc>
        <w:tc>
          <w:tcPr>
            <w:tcW w:w="1158" w:type="dxa"/>
            <w:vAlign w:val="top"/>
          </w:tcPr>
          <w:p>
            <w:pPr>
              <w:jc w:val="center"/>
              <w:rPr>
                <w:rFonts w:hint="eastAsia" w:ascii="仿宋" w:hAnsi="仿宋" w:eastAsia="仿宋" w:cs="仿宋"/>
                <w:sz w:val="24"/>
              </w:rPr>
            </w:pPr>
            <w:r>
              <w:rPr>
                <w:rFonts w:hint="eastAsia" w:ascii="仿宋" w:hAnsi="仿宋" w:eastAsia="仿宋" w:cs="仿宋"/>
                <w:sz w:val="24"/>
              </w:rPr>
              <w:t>用户</w:t>
            </w:r>
          </w:p>
          <w:p>
            <w:pPr>
              <w:jc w:val="center"/>
              <w:rPr>
                <w:rFonts w:hint="eastAsia" w:ascii="仿宋" w:hAnsi="仿宋" w:eastAsia="仿宋" w:cs="仿宋"/>
                <w:sz w:val="24"/>
              </w:rPr>
            </w:pPr>
            <w:r>
              <w:rPr>
                <w:rFonts w:hint="eastAsia" w:ascii="仿宋" w:hAnsi="仿宋" w:eastAsia="仿宋" w:cs="仿宋"/>
                <w:sz w:val="24"/>
              </w:rPr>
              <w:t>名称</w:t>
            </w:r>
          </w:p>
        </w:tc>
        <w:tc>
          <w:tcPr>
            <w:tcW w:w="1559" w:type="dxa"/>
            <w:vAlign w:val="top"/>
          </w:tcPr>
          <w:p>
            <w:pPr>
              <w:jc w:val="center"/>
              <w:rPr>
                <w:rFonts w:hint="eastAsia" w:ascii="仿宋" w:hAnsi="仿宋" w:eastAsia="仿宋" w:cs="仿宋"/>
                <w:sz w:val="24"/>
              </w:rPr>
            </w:pPr>
            <w:r>
              <w:rPr>
                <w:rFonts w:hint="eastAsia" w:ascii="仿宋" w:hAnsi="仿宋" w:eastAsia="仿宋" w:cs="仿宋"/>
                <w:sz w:val="24"/>
              </w:rPr>
              <w:t>项目名称</w:t>
            </w:r>
          </w:p>
        </w:tc>
        <w:tc>
          <w:tcPr>
            <w:tcW w:w="1425" w:type="dxa"/>
            <w:vAlign w:val="top"/>
          </w:tcPr>
          <w:p>
            <w:pPr>
              <w:jc w:val="center"/>
              <w:rPr>
                <w:rFonts w:hint="eastAsia" w:ascii="仿宋" w:hAnsi="仿宋" w:eastAsia="仿宋" w:cs="仿宋"/>
                <w:sz w:val="24"/>
              </w:rPr>
            </w:pPr>
            <w:r>
              <w:rPr>
                <w:rFonts w:hint="eastAsia" w:ascii="仿宋" w:hAnsi="仿宋" w:eastAsia="仿宋" w:cs="仿宋"/>
                <w:sz w:val="24"/>
              </w:rPr>
              <w:t>合同价格或中标价格</w:t>
            </w:r>
          </w:p>
        </w:tc>
        <w:tc>
          <w:tcPr>
            <w:tcW w:w="1617" w:type="dxa"/>
            <w:vAlign w:val="top"/>
          </w:tcPr>
          <w:p>
            <w:pPr>
              <w:jc w:val="center"/>
              <w:rPr>
                <w:rFonts w:hint="eastAsia" w:ascii="仿宋" w:hAnsi="仿宋" w:eastAsia="仿宋" w:cs="仿宋"/>
                <w:sz w:val="24"/>
              </w:rPr>
            </w:pPr>
            <w:r>
              <w:rPr>
                <w:rFonts w:hint="eastAsia" w:ascii="仿宋" w:hAnsi="仿宋" w:eastAsia="仿宋" w:cs="仿宋"/>
                <w:sz w:val="24"/>
              </w:rPr>
              <w:t>使用时间或中标时间</w:t>
            </w:r>
          </w:p>
        </w:tc>
        <w:tc>
          <w:tcPr>
            <w:tcW w:w="1464" w:type="dxa"/>
            <w:vAlign w:val="top"/>
          </w:tcPr>
          <w:p>
            <w:pPr>
              <w:jc w:val="center"/>
              <w:rPr>
                <w:rFonts w:hint="eastAsia" w:ascii="仿宋" w:hAnsi="仿宋" w:eastAsia="仿宋" w:cs="仿宋"/>
                <w:sz w:val="24"/>
              </w:rPr>
            </w:pPr>
            <w:r>
              <w:rPr>
                <w:rFonts w:hint="eastAsia" w:ascii="仿宋" w:hAnsi="仿宋" w:eastAsia="仿宋" w:cs="仿宋"/>
                <w:sz w:val="24"/>
              </w:rPr>
              <w:t>联系人及联系方式</w:t>
            </w:r>
          </w:p>
        </w:tc>
        <w:tc>
          <w:tcPr>
            <w:tcW w:w="1012" w:type="dxa"/>
            <w:vAlign w:val="top"/>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158" w:type="dxa"/>
            <w:vAlign w:val="top"/>
          </w:tcPr>
          <w:p>
            <w:pPr>
              <w:jc w:val="center"/>
              <w:rPr>
                <w:rFonts w:hint="eastAsia" w:ascii="仿宋" w:hAnsi="仿宋" w:eastAsia="仿宋" w:cs="仿宋"/>
                <w:sz w:val="24"/>
              </w:rPr>
            </w:pPr>
          </w:p>
        </w:tc>
        <w:tc>
          <w:tcPr>
            <w:tcW w:w="1559" w:type="dxa"/>
            <w:vAlign w:val="top"/>
          </w:tcPr>
          <w:p>
            <w:pPr>
              <w:jc w:val="center"/>
              <w:rPr>
                <w:rFonts w:hint="eastAsia" w:ascii="仿宋" w:hAnsi="仿宋" w:eastAsia="仿宋" w:cs="仿宋"/>
                <w:sz w:val="24"/>
              </w:rPr>
            </w:pPr>
          </w:p>
        </w:tc>
        <w:tc>
          <w:tcPr>
            <w:tcW w:w="1425" w:type="dxa"/>
            <w:vAlign w:val="top"/>
          </w:tcPr>
          <w:p>
            <w:pPr>
              <w:jc w:val="center"/>
              <w:rPr>
                <w:rFonts w:hint="eastAsia" w:ascii="仿宋" w:hAnsi="仿宋" w:eastAsia="仿宋" w:cs="仿宋"/>
                <w:sz w:val="24"/>
              </w:rPr>
            </w:pPr>
          </w:p>
        </w:tc>
        <w:tc>
          <w:tcPr>
            <w:tcW w:w="1617" w:type="dxa"/>
            <w:vAlign w:val="top"/>
          </w:tcPr>
          <w:p>
            <w:pPr>
              <w:jc w:val="center"/>
              <w:rPr>
                <w:rFonts w:hint="eastAsia" w:ascii="仿宋" w:hAnsi="仿宋" w:eastAsia="仿宋" w:cs="仿宋"/>
                <w:sz w:val="24"/>
              </w:rPr>
            </w:pPr>
          </w:p>
        </w:tc>
        <w:tc>
          <w:tcPr>
            <w:tcW w:w="1464" w:type="dxa"/>
            <w:vAlign w:val="top"/>
          </w:tcPr>
          <w:p>
            <w:pPr>
              <w:jc w:val="center"/>
              <w:rPr>
                <w:rFonts w:hint="eastAsia" w:ascii="仿宋" w:hAnsi="仿宋" w:eastAsia="仿宋" w:cs="仿宋"/>
                <w:sz w:val="24"/>
              </w:rPr>
            </w:pPr>
          </w:p>
        </w:tc>
        <w:tc>
          <w:tcPr>
            <w:tcW w:w="1012" w:type="dxa"/>
            <w:vAlign w:val="to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158" w:type="dxa"/>
            <w:vAlign w:val="top"/>
          </w:tcPr>
          <w:p>
            <w:pPr>
              <w:rPr>
                <w:rFonts w:hint="eastAsia" w:ascii="仿宋" w:hAnsi="仿宋" w:eastAsia="仿宋" w:cs="仿宋"/>
                <w:sz w:val="24"/>
              </w:rPr>
            </w:pPr>
          </w:p>
        </w:tc>
        <w:tc>
          <w:tcPr>
            <w:tcW w:w="1559" w:type="dxa"/>
            <w:vAlign w:val="top"/>
          </w:tcPr>
          <w:p>
            <w:pPr>
              <w:rPr>
                <w:rFonts w:hint="eastAsia" w:ascii="仿宋" w:hAnsi="仿宋" w:eastAsia="仿宋" w:cs="仿宋"/>
                <w:sz w:val="24"/>
              </w:rPr>
            </w:pPr>
          </w:p>
        </w:tc>
        <w:tc>
          <w:tcPr>
            <w:tcW w:w="1425" w:type="dxa"/>
            <w:vAlign w:val="top"/>
          </w:tcPr>
          <w:p>
            <w:pPr>
              <w:rPr>
                <w:rFonts w:hint="eastAsia" w:ascii="仿宋" w:hAnsi="仿宋" w:eastAsia="仿宋" w:cs="仿宋"/>
                <w:sz w:val="24"/>
              </w:rPr>
            </w:pPr>
          </w:p>
        </w:tc>
        <w:tc>
          <w:tcPr>
            <w:tcW w:w="1617" w:type="dxa"/>
            <w:vAlign w:val="top"/>
          </w:tcPr>
          <w:p>
            <w:pPr>
              <w:rPr>
                <w:rFonts w:hint="eastAsia" w:ascii="仿宋" w:hAnsi="仿宋" w:eastAsia="仿宋" w:cs="仿宋"/>
                <w:sz w:val="24"/>
              </w:rPr>
            </w:pPr>
          </w:p>
        </w:tc>
        <w:tc>
          <w:tcPr>
            <w:tcW w:w="1464" w:type="dxa"/>
            <w:vAlign w:val="top"/>
          </w:tcPr>
          <w:p>
            <w:pPr>
              <w:rPr>
                <w:rFonts w:hint="eastAsia" w:ascii="仿宋" w:hAnsi="仿宋" w:eastAsia="仿宋" w:cs="仿宋"/>
                <w:sz w:val="24"/>
              </w:rPr>
            </w:pPr>
          </w:p>
        </w:tc>
        <w:tc>
          <w:tcPr>
            <w:tcW w:w="1012" w:type="dxa"/>
            <w:vAlign w:val="top"/>
          </w:tcPr>
          <w:p>
            <w:pPr>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说明：不限于咨询设计、项目实施类。</w:t>
      </w:r>
    </w:p>
    <w:p>
      <w:pPr>
        <w:rPr>
          <w:rFonts w:hint="eastAsia" w:ascii="仿宋" w:hAnsi="仿宋" w:eastAsia="仿宋" w:cs="仿宋"/>
        </w:rPr>
      </w:pPr>
    </w:p>
    <w:p>
      <w:pPr>
        <w:spacing w:line="400" w:lineRule="exact"/>
        <w:jc w:val="center"/>
        <w:rPr>
          <w:rFonts w:hint="eastAsia" w:ascii="仿宋" w:hAnsi="仿宋" w:eastAsia="仿宋" w:cs="仿宋"/>
          <w:b/>
          <w:bCs/>
          <w:sz w:val="24"/>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pStyle w:val="2"/>
        <w:rPr>
          <w:rFonts w:hint="eastAsia" w:ascii="宋体" w:hAnsi="宋体" w:cs="宋体"/>
          <w:b/>
          <w:bCs/>
          <w:sz w:val="32"/>
          <w:szCs w:val="32"/>
          <w:lang w:val="en-US" w:eastAsia="zh-CN"/>
        </w:rPr>
      </w:pPr>
    </w:p>
    <w:p>
      <w:pPr>
        <w:spacing w:line="240" w:lineRule="atLeast"/>
        <w:jc w:val="left"/>
        <w:rPr>
          <w:rFonts w:hint="default" w:ascii="黑体" w:hAnsi="宋体" w:eastAsia="黑体"/>
          <w:bCs/>
          <w:sz w:val="32"/>
          <w:szCs w:val="32"/>
          <w:lang w:val="en-US" w:eastAsia="zh-CN"/>
        </w:rPr>
      </w:pPr>
      <w:r>
        <w:rPr>
          <w:rFonts w:hint="eastAsia" w:ascii="黑体" w:hAnsi="宋体" w:eastAsia="黑体"/>
          <w:bCs/>
          <w:sz w:val="32"/>
          <w:szCs w:val="32"/>
          <w:lang w:val="en-US" w:eastAsia="zh-CN"/>
        </w:rPr>
        <w:t>附件3</w:t>
      </w:r>
    </w:p>
    <w:p>
      <w:pPr>
        <w:spacing w:line="240" w:lineRule="atLeast"/>
        <w:jc w:val="center"/>
        <w:rPr>
          <w:rFonts w:hint="eastAsia" w:ascii="黑体" w:hAnsi="宋体" w:eastAsia="黑体"/>
          <w:bCs/>
          <w:sz w:val="32"/>
          <w:szCs w:val="32"/>
        </w:rPr>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2"/>
        <w:rPr>
          <w:rFonts w:hint="eastAsia" w:ascii="仿宋_GB2312" w:hAnsi="宋体" w:eastAsia="仿宋_GB2312"/>
          <w:b/>
          <w:bCs/>
          <w:sz w:val="32"/>
          <w:szCs w:val="32"/>
        </w:rPr>
      </w:pPr>
    </w:p>
    <w:p>
      <w:pPr>
        <w:pStyle w:val="2"/>
        <w:rPr>
          <w:rFonts w:hint="eastAsia" w:ascii="仿宋_GB2312" w:hAnsi="宋体" w:eastAsia="仿宋_GB2312"/>
          <w:b/>
          <w:bCs/>
          <w:sz w:val="32"/>
          <w:szCs w:val="32"/>
        </w:rPr>
      </w:pP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附件4 </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ascii="仿宋_GB2312" w:eastAsia="仿宋_GB2312"/>
          <w:sz w:val="30"/>
          <w:szCs w:val="30"/>
        </w:rPr>
      </w:pPr>
      <w:r>
        <w:rPr>
          <w:rFonts w:hint="eastAsia" w:ascii="仿宋_GB2312" w:eastAsia="仿宋_GB2312"/>
          <w:sz w:val="30"/>
          <w:szCs w:val="30"/>
        </w:rPr>
        <w:t>法人代表或委托代理人（承诺人）</w:t>
      </w:r>
    </w:p>
    <w:p>
      <w:pPr>
        <w:pStyle w:val="2"/>
        <w:rPr>
          <w:rFonts w:hint="default" w:ascii="仿宋_GB2312" w:hAnsi="宋体" w:eastAsia="仿宋_GB2312"/>
          <w:b/>
          <w:bCs/>
          <w:sz w:val="32"/>
          <w:szCs w:val="32"/>
          <w:lang w:val="en-US" w:eastAsia="zh-CN"/>
        </w:rPr>
      </w:pPr>
    </w:p>
    <w:p>
      <w:pPr>
        <w:pStyle w:val="2"/>
        <w:rPr>
          <w:rFonts w:hint="eastAsia" w:ascii="宋体" w:hAnsi="宋体" w:cs="宋体"/>
          <w:b/>
          <w:bCs/>
          <w:sz w:val="32"/>
          <w:szCs w:val="32"/>
          <w:lang w:val="en-US" w:eastAsia="zh-CN"/>
        </w:rPr>
      </w:pPr>
    </w:p>
    <w:p>
      <w:pPr>
        <w:pStyle w:val="2"/>
        <w:rPr>
          <w:rFonts w:hint="default" w:ascii="宋体" w:hAnsi="宋体" w:cs="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7044"/>
    <w:rsid w:val="0DC96B9A"/>
    <w:rsid w:val="15FD6020"/>
    <w:rsid w:val="271A0FF3"/>
    <w:rsid w:val="36A5076B"/>
    <w:rsid w:val="40663B34"/>
    <w:rsid w:val="43032E25"/>
    <w:rsid w:val="52DF686D"/>
    <w:rsid w:val="60C7120C"/>
    <w:rsid w:val="65440C13"/>
    <w:rsid w:val="6F2743CA"/>
    <w:rsid w:val="71BD3B6F"/>
    <w:rsid w:val="74416244"/>
    <w:rsid w:val="7C01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1"/>
    <w:unhideWhenUsed/>
    <w:qFormat/>
    <w:uiPriority w:val="99"/>
    <w:pPr>
      <w:spacing w:after="120"/>
    </w:pPr>
    <w:rPr>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3601</Words>
  <Characters>3665</Characters>
  <Lines>0</Lines>
  <Paragraphs>0</Paragraphs>
  <TotalTime>9</TotalTime>
  <ScaleCrop>false</ScaleCrop>
  <LinksUpToDate>false</LinksUpToDate>
  <CharactersWithSpaces>3977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WPS_1641450240</cp:lastModifiedBy>
  <dcterms:modified xsi:type="dcterms:W3CDTF">2022-04-15T01:07:00Z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8CDF4C5173AE4A9FBE100CB385EDB87E</vt:lpwstr>
  </property>
</Properties>
</file>