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lang w:eastAsia="zh-CN"/>
        </w:rPr>
      </w:pPr>
      <w:r>
        <w:rPr>
          <w:rFonts w:hint="eastAsia" w:ascii="微软雅黑" w:hAnsi="微软雅黑" w:eastAsia="微软雅黑" w:cs="Times New Roman"/>
          <w:b/>
          <w:color w:val="000000"/>
          <w:sz w:val="28"/>
          <w:szCs w:val="21"/>
        </w:rPr>
        <w:t>附件</w:t>
      </w:r>
      <w:r>
        <w:rPr>
          <w:rFonts w:hint="eastAsia" w:ascii="微软雅黑" w:hAnsi="微软雅黑" w:eastAsia="微软雅黑" w:cs="Times New Roman"/>
          <w:b/>
          <w:color w:val="000000"/>
          <w:sz w:val="28"/>
          <w:szCs w:val="21"/>
          <w:lang w:val="en-US" w:eastAsia="zh-CN"/>
        </w:rPr>
        <w:t>1</w:t>
      </w:r>
      <w:r>
        <w:rPr>
          <w:rFonts w:hint="eastAsia" w:ascii="微软雅黑" w:hAnsi="微软雅黑" w:eastAsia="微软雅黑" w:cs="Times New Roman"/>
          <w:b/>
          <w:color w:val="000000"/>
          <w:sz w:val="28"/>
          <w:szCs w:val="21"/>
        </w:rPr>
        <w:t>：</w:t>
      </w:r>
    </w:p>
    <w:p>
      <w:pPr>
        <w:pStyle w:val="3"/>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四川省妇幼保健院</w:t>
      </w:r>
      <w:r>
        <w:rPr>
          <w:rFonts w:hint="eastAsia" w:ascii="仿宋_GB2312" w:hAnsi="仿宋_GB2312" w:eastAsia="仿宋_GB2312" w:cs="仿宋_GB2312"/>
          <w:sz w:val="30"/>
          <w:szCs w:val="30"/>
          <w:lang w:val="en-US" w:eastAsia="zh-CN"/>
        </w:rPr>
        <w:t>网站系统升级及安全加固服务</w:t>
      </w:r>
    </w:p>
    <w:p>
      <w:pPr>
        <w:pStyle w:val="3"/>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招标参数和评分标准</w:t>
      </w:r>
    </w:p>
    <w:p>
      <w:pP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说明：</w:t>
      </w:r>
    </w:p>
    <w:p>
      <w:pPr>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szCs w:val="21"/>
          <w:highlight w:val="none"/>
        </w:rPr>
        <w:t>本</w:t>
      </w:r>
      <w:r>
        <w:rPr>
          <w:rFonts w:hint="eastAsia" w:ascii="仿宋_GB2312" w:hAnsi="仿宋_GB2312" w:eastAsia="仿宋_GB2312" w:cs="仿宋_GB2312"/>
          <w:b/>
          <w:color w:val="auto"/>
          <w:sz w:val="24"/>
          <w:szCs w:val="21"/>
          <w:highlight w:val="none"/>
          <w:lang w:val="en-US" w:eastAsia="zh-CN"/>
        </w:rPr>
        <w:t>文</w:t>
      </w:r>
      <w:r>
        <w:rPr>
          <w:rFonts w:hint="eastAsia" w:ascii="仿宋_GB2312" w:hAnsi="仿宋_GB2312" w:eastAsia="仿宋_GB2312" w:cs="仿宋_GB2312"/>
          <w:b/>
          <w:color w:val="auto"/>
          <w:sz w:val="24"/>
          <w:szCs w:val="21"/>
          <w:highlight w:val="none"/>
        </w:rPr>
        <w:t>中标注“★”号的条款为本项目的实质性要求，供应商应全部满足，否则其投标文件作无效处理。</w:t>
      </w:r>
      <w:r>
        <w:rPr>
          <w:rFonts w:hint="eastAsia" w:ascii="仿宋_GB2312" w:hAnsi="仿宋_GB2312" w:eastAsia="仿宋_GB2312" w:cs="仿宋_GB2312"/>
          <w:b/>
          <w:color w:val="auto"/>
          <w:sz w:val="24"/>
          <w:highlight w:val="none"/>
        </w:rPr>
        <w:t>“▲”符号的条款为本项目的重要参数条款，未标识符号的条款为一般参数条款</w:t>
      </w:r>
      <w:r>
        <w:rPr>
          <w:rFonts w:hint="eastAsia" w:ascii="仿宋_GB2312" w:hAnsi="仿宋_GB2312" w:eastAsia="仿宋_GB2312" w:cs="仿宋_GB2312"/>
          <w:b/>
          <w:color w:val="auto"/>
          <w:sz w:val="24"/>
          <w:highlight w:val="none"/>
          <w:lang w:eastAsia="zh-CN"/>
        </w:rPr>
        <w:t>。</w:t>
      </w:r>
    </w:p>
    <w:p>
      <w:pPr>
        <w:pStyle w:val="2"/>
        <w:rPr>
          <w:rFonts w:hint="eastAsia" w:ascii="仿宋_GB2312" w:hAnsi="仿宋_GB2312" w:eastAsia="仿宋_GB2312" w:cs="仿宋_GB2312"/>
          <w:lang w:val="en-US" w:eastAsia="zh-CN"/>
        </w:rPr>
      </w:pPr>
    </w:p>
    <w:p>
      <w:pPr>
        <w:outlineLvl w:val="1"/>
        <w:rPr>
          <w:rFonts w:hint="eastAsia" w:ascii="仿宋_GB2312" w:hAnsi="仿宋_GB2312" w:eastAsia="仿宋_GB2312" w:cs="仿宋_GB2312"/>
        </w:rPr>
      </w:pPr>
      <w:r>
        <w:rPr>
          <w:rFonts w:hint="eastAsia" w:ascii="仿宋_GB2312" w:hAnsi="仿宋_GB2312" w:eastAsia="仿宋_GB2312" w:cs="仿宋_GB2312"/>
        </w:rPr>
        <w:t>1.技术参数要求：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5"/>
        <w:gridCol w:w="1359"/>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330" w:type="pct"/>
            <w:vAlign w:val="center"/>
          </w:tcPr>
          <w:p>
            <w:pPr>
              <w:autoSpaceDE w:val="0"/>
              <w:autoSpaceDN w:val="0"/>
              <w:spacing w:line="24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807" w:type="pct"/>
            <w:shd w:val="clear" w:color="auto" w:fill="auto"/>
            <w:tcMar>
              <w:top w:w="0" w:type="dxa"/>
              <w:left w:w="108" w:type="dxa"/>
              <w:bottom w:w="0" w:type="dxa"/>
              <w:right w:w="108" w:type="dxa"/>
            </w:tcMar>
            <w:vAlign w:val="center"/>
          </w:tcPr>
          <w:p>
            <w:pPr>
              <w:autoSpaceDE w:val="0"/>
              <w:autoSpaceDN w:val="0"/>
              <w:spacing w:line="24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采购内容</w:t>
            </w:r>
          </w:p>
        </w:tc>
        <w:tc>
          <w:tcPr>
            <w:tcW w:w="3863" w:type="pct"/>
            <w:shd w:val="clear" w:color="auto" w:fill="auto"/>
            <w:tcMar>
              <w:top w:w="0" w:type="dxa"/>
              <w:left w:w="108" w:type="dxa"/>
              <w:bottom w:w="0" w:type="dxa"/>
              <w:right w:w="108" w:type="dxa"/>
            </w:tcMar>
            <w:vAlign w:val="center"/>
          </w:tcPr>
          <w:p>
            <w:pPr>
              <w:autoSpaceDE w:val="0"/>
              <w:autoSpaceDN w:val="0"/>
              <w:spacing w:line="240" w:lineRule="auto"/>
              <w:ind w:firstLine="482"/>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330" w:type="pct"/>
            <w:vAlign w:val="center"/>
          </w:tcPr>
          <w:p>
            <w:pPr>
              <w:pStyle w:val="11"/>
              <w:numPr>
                <w:ilvl w:val="0"/>
                <w:numId w:val="1"/>
              </w:numPr>
              <w:autoSpaceDE w:val="0"/>
              <w:autoSpaceDN w:val="0"/>
              <w:spacing w:line="240" w:lineRule="auto"/>
              <w:ind w:firstLineChars="0"/>
              <w:jc w:val="center"/>
              <w:rPr>
                <w:rFonts w:hint="eastAsia" w:ascii="仿宋_GB2312" w:hAnsi="仿宋_GB2312" w:eastAsia="仿宋_GB2312" w:cs="仿宋_GB2312"/>
                <w:sz w:val="24"/>
                <w:szCs w:val="24"/>
              </w:rPr>
            </w:pPr>
          </w:p>
        </w:tc>
        <w:tc>
          <w:tcPr>
            <w:tcW w:w="807" w:type="pct"/>
            <w:shd w:val="clear" w:color="auto" w:fill="auto"/>
            <w:tcMar>
              <w:top w:w="0" w:type="dxa"/>
              <w:left w:w="108" w:type="dxa"/>
              <w:bottom w:w="0" w:type="dxa"/>
              <w:right w:w="108" w:type="dxa"/>
            </w:tcMar>
            <w:vAlign w:val="center"/>
          </w:tcPr>
          <w:p>
            <w:pPr>
              <w:widowControl/>
              <w:spacing w:line="240" w:lineRule="auto"/>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服务要求</w:t>
            </w:r>
          </w:p>
        </w:tc>
        <w:tc>
          <w:tcPr>
            <w:tcW w:w="3863" w:type="pct"/>
            <w:shd w:val="clear" w:color="auto" w:fill="auto"/>
            <w:tcMar>
              <w:top w:w="0" w:type="dxa"/>
              <w:left w:w="108" w:type="dxa"/>
              <w:bottom w:w="0" w:type="dxa"/>
              <w:right w:w="108" w:type="dxa"/>
            </w:tcMar>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color w:val="000000"/>
              </w:rPr>
              <w:t>★本次服务项目需在医院现有的网站管理系统基础上进行安装部署及维护服</w:t>
            </w:r>
            <w:r>
              <w:rPr>
                <w:rFonts w:hint="eastAsia" w:ascii="仿宋_GB2312" w:hAnsi="仿宋_GB2312" w:eastAsia="仿宋_GB2312" w:cs="仿宋_GB2312"/>
              </w:rPr>
              <w:t>务，因该系统的框架、核心技术及平台源代码均为原网站系统开发公司自主研发，拥有独立知识产权，故为保证网站数据的安全性和完整性、故障处理的效率性和便利性，中标方必须依法取得原网站管理系统开发公司的授权书。授权书由中标方自行取得，且由此产生的费用自行承担。</w:t>
            </w:r>
          </w:p>
          <w:p>
            <w:pPr>
              <w:spacing w:line="24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★本次项目服务期间，若对原系统进行升级改造，该方面需要原系统开发公司协助并且所产生的服务费用都由中标方承担。</w:t>
            </w:r>
          </w:p>
          <w:p>
            <w:pPr>
              <w:spacing w:line="240" w:lineRule="auto"/>
              <w:rPr>
                <w:rFonts w:hint="eastAsia" w:ascii="仿宋_GB2312" w:hAnsi="仿宋_GB2312" w:eastAsia="仿宋_GB2312" w:cs="仿宋_GB2312"/>
              </w:rPr>
            </w:pPr>
            <w:r>
              <w:rPr>
                <w:rFonts w:hint="eastAsia" w:ascii="仿宋_GB2312" w:hAnsi="仿宋_GB2312" w:eastAsia="仿宋_GB2312" w:cs="仿宋_GB2312"/>
                <w:color w:val="000000"/>
              </w:rPr>
              <w:t>★按照等保三级要求进行日常安全运维，并协助通过每年重保活动和等保三级测评及整改，整改内容需要对网站系统所有漏洞进行修复，需要原系统开发公司协助并且所产生的服务费用都由中标方承担。</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1.全天候7*24小时运维技术服务：服务响应时间0.5小时，提供专属运维客服，招标人可随时联系技术支持人员，以便于及时对网站进行各模块修改、内容更新及版面调整、管理系统功能完善和优化。</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2.回访服务：每日对网站服务进行巡检和数据备份，每月主动电话回访网站需求服务，每年主动现场回访网站需求服务。</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3.运维报告：网站维护内容工单系统记录并形成运维报告，定期向我院发送月度/年度运维报告。</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4.备份服务：每天进行服务器、网站数据库及日至备份。服务器每日14点、23点进行快照备份，全备。服务器出现问题及时修复，保障数据安全，避免造成损失。</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5.数据导出：网站数据能随时导出，便于招标人及时查看网站访问量等。</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6、等保测评：提供完整的网站等保测评安全服务指导方案，协助招标人通过等保测评。</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7、网站安全保障：出现非法外链排查记录、网站重大内容排查（关键字）、网站漏洞修复、云监控检测服务、网站应急关停服务（重大节假日期间）、重大活动、攻防演练提供安全加固升级方案指导。</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8.服务器性能监控服务：服务器的各项指标性能监控（含CPU、内存、磁盘、流量），制定报警规则，配置服务器安全组，每天对系统进行检查，服务器出现安全隐患或异常及时通知并处理。</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9.备案服务：工业和信息化部政务服务平台备案、全国互联网安全管理服务平台备案。</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10.续费提醒服务：提供域名管理及续费提醒、安全产品到期续费提醒、企业邮箱到期续费提醒等。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30" w:type="pct"/>
            <w:vAlign w:val="center"/>
          </w:tcPr>
          <w:p>
            <w:pPr>
              <w:pStyle w:val="11"/>
              <w:numPr>
                <w:ilvl w:val="0"/>
                <w:numId w:val="1"/>
              </w:numPr>
              <w:autoSpaceDE w:val="0"/>
              <w:autoSpaceDN w:val="0"/>
              <w:spacing w:line="240" w:lineRule="auto"/>
              <w:ind w:firstLineChars="0"/>
              <w:jc w:val="center"/>
              <w:rPr>
                <w:rFonts w:hint="eastAsia" w:ascii="仿宋_GB2312" w:hAnsi="仿宋_GB2312" w:eastAsia="仿宋_GB2312" w:cs="仿宋_GB2312"/>
                <w:sz w:val="24"/>
                <w:szCs w:val="24"/>
              </w:rPr>
            </w:pPr>
          </w:p>
        </w:tc>
        <w:tc>
          <w:tcPr>
            <w:tcW w:w="807" w:type="pct"/>
            <w:shd w:val="clear" w:color="auto" w:fill="auto"/>
            <w:tcMar>
              <w:top w:w="0" w:type="dxa"/>
              <w:left w:w="108" w:type="dxa"/>
              <w:bottom w:w="0" w:type="dxa"/>
              <w:right w:w="108" w:type="dxa"/>
            </w:tcMar>
            <w:vAlign w:val="center"/>
          </w:tcPr>
          <w:p>
            <w:pPr>
              <w:widowControl/>
              <w:spacing w:line="240" w:lineRule="auto"/>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技术部分</w:t>
            </w:r>
          </w:p>
        </w:tc>
        <w:tc>
          <w:tcPr>
            <w:tcW w:w="3863" w:type="pct"/>
            <w:shd w:val="clear" w:color="auto" w:fill="auto"/>
            <w:tcMar>
              <w:top w:w="0" w:type="dxa"/>
              <w:left w:w="108" w:type="dxa"/>
              <w:bottom w:w="0" w:type="dxa"/>
              <w:right w:w="108" w:type="dxa"/>
            </w:tcMar>
            <w:vAlign w:val="center"/>
          </w:tcPr>
          <w:p>
            <w:pPr>
              <w:spacing w:line="240" w:lineRule="auto"/>
              <w:rPr>
                <w:rFonts w:hint="eastAsia" w:ascii="仿宋_GB2312" w:hAnsi="仿宋_GB2312" w:eastAsia="仿宋_GB2312" w:cs="仿宋_GB2312"/>
                <w:b/>
                <w:bCs/>
              </w:rPr>
            </w:pPr>
            <w:r>
              <w:rPr>
                <w:rFonts w:hint="eastAsia" w:ascii="仿宋_GB2312" w:hAnsi="仿宋_GB2312" w:eastAsia="仿宋_GB2312" w:cs="仿宋_GB2312"/>
                <w:b/>
                <w:bCs/>
              </w:rPr>
              <w:t>（一）Web应用防火墙</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1.服务商提供的服务可适用于公有云、私有云和混合云及传统环境等场景，并支持多场景的统一实施和管理；</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2.服务商提供的服务支持反向代理防护模式和主机防护模式；</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3.服务商提供的服务网站漏洞防护:支持HTTP检测，持文件上传防护，通过自定义禁止上传的文件类型，对上传至web服务器的信息进行检查;</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4.服务商提供的服务支持目录漏洞防护，支持禁止浏览畸形文件，支持短文件名防护;</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5.★服务商提供的服务支持网页后门（webshell）查杀，分为静态查杀引擎和动态查杀引擎；</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6. 服务商提供的服务支持资源防盗链防护，支持特定资源防护，通过对某些特定资源的进行防护，不允许被下载或被盗用。保护模式有资源路径保护 和 资源类型保护。</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7. 服务商提供的服务内容防护模块:支持网站后台防护，支持响应内容防护;</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8. 服务商提供的服务支持CC攻击防护：支持通过主动防御系统防御CC攻击。</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9.★服务商提供的服务支持黑白名单管理：支持通过设置IP地址为黑名单地址或者白名单地址，调整指定IP/IP段对网站的访问权限。支持的设置有白名单、黑名单、封禁区域、爬虫白名单。</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虚拟补丁：支持在无需打补丁的情况下，通过其他方式进行非法攻击拦截，完成漏洞防护。</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10.★服务商提供的服务支持攻击分析：支持对攻击事件源和攻击源事件的分析；支持从多个维度挖掘攻击者IP的地理信息、活跃度、攻击手法特征、攻击次数、攻击服务器范围等并进行画像分析和威胁程度排名，提供攻击IP风险分布图、攻击IP地理分布图、最近30天攻击IP列表。</w:t>
            </w:r>
          </w:p>
          <w:p>
            <w:pPr>
              <w:pStyle w:val="2"/>
              <w:spacing w:line="240" w:lineRule="auto"/>
              <w:rPr>
                <w:rFonts w:hint="eastAsia" w:ascii="仿宋_GB2312" w:hAnsi="仿宋_GB2312" w:eastAsia="仿宋_GB2312" w:cs="仿宋_GB2312"/>
                <w:b/>
                <w:bCs/>
              </w:rPr>
            </w:pPr>
            <w:r>
              <w:rPr>
                <w:rFonts w:hint="eastAsia" w:ascii="仿宋_GB2312" w:hAnsi="仿宋_GB2312" w:eastAsia="仿宋_GB2312" w:cs="仿宋_GB2312"/>
                <w:b/>
                <w:bCs/>
              </w:rPr>
              <w:t>（二）安全中心</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1.资产清点:服务商需要通过安全中心服务进行资产管理，能够定期获取并记录主机上的Web站点、Web容器、Web应用、Web应用框架、账号、计划任务、端口、数据库、进程、第三方组件、环境变量、Jar包、系统安装包、软件应用、内核模块等信息。</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服务商需要对主机开启各类监控包括登录监控、完整性监控、操作审计、进程监控、资源监控、性能监控、会话监控，能确保第一时间发现服务器问题。</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2.入侵检测：服务商需要处理各类入侵事件及具有高度威胁的事件，支持识别并处置的入侵威胁事件包括：病毒木马、网页后门、反弹shell、异常账号、日志删除、异常登录、异常进程、系统命令校验等。服务商需要对接国内外主流病毒查杀引擎，采用不少于4个的多引擎查杀，可检测出恶意进程及软件，并提供隔离、信任等功能。</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3.安全体检：服务商可主动发起主机深度检测，检测的项目包括：系统漏洞、弱口令、高危账号、配置缺陷、病毒木马、网页后门、反弹shell、异常账号、日志删除、异常进程、系统命令校验等。</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4.安全基线：服务商需要对服务器操作系统（Windows和Linux）配置和web容器配置的基线内容进行检查，可以设置合规基线检测的基线模板，设置模板基础信息、规则信息，支持自定义基线检测。</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5.病毒防护：服务商能提供病毒防护和主动防护功能，需要支持暴力破解防护、扫描防护、病毒防护、IP黑白名单、端口安全防护、访问控制、进程行为控制、反弹shell监控、远程登录防护、本地提权防护。</w:t>
            </w:r>
          </w:p>
          <w:p>
            <w:pPr>
              <w:pStyle w:val="2"/>
              <w:spacing w:line="240" w:lineRule="auto"/>
              <w:rPr>
                <w:rFonts w:hint="eastAsia" w:ascii="仿宋_GB2312" w:hAnsi="仿宋_GB2312" w:eastAsia="仿宋_GB2312" w:cs="仿宋_GB2312"/>
                <w:b/>
                <w:bCs/>
              </w:rPr>
            </w:pPr>
            <w:r>
              <w:rPr>
                <w:rFonts w:hint="eastAsia" w:ascii="仿宋_GB2312" w:hAnsi="仿宋_GB2312" w:eastAsia="仿宋_GB2312" w:cs="仿宋_GB2312"/>
                <w:b/>
                <w:bCs/>
              </w:rPr>
              <w:t>（三）堡垒机</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★1.服务商提供的服务可用于集中管理资产权限，全程监控操作行为，实时还原运维场景，保障云端运维身份可鉴别、权限可管控、风险可阻断、操作可审计，助力等保合规。</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2.服务商提供的服务建立统一安全运维通道，通过运维权限细粒度管控、风险命令实时阻断、密码无感知托管、操作行为录播审计等，解决“众多资产难管理”、“运维职责权限不清晰”以及“运维事件难追溯”等问题。</w:t>
            </w:r>
          </w:p>
          <w:p>
            <w:pPr>
              <w:pStyle w:val="2"/>
              <w:spacing w:line="240" w:lineRule="auto"/>
              <w:rPr>
                <w:rFonts w:hint="eastAsia" w:ascii="仿宋_GB2312" w:hAnsi="仿宋_GB2312" w:eastAsia="仿宋_GB2312" w:cs="仿宋_GB2312"/>
              </w:rPr>
            </w:pPr>
            <w:r>
              <w:rPr>
                <w:rFonts w:hint="eastAsia" w:ascii="仿宋_GB2312" w:hAnsi="仿宋_GB2312" w:eastAsia="仿宋_GB2312" w:cs="仿宋_GB2312"/>
              </w:rPr>
              <w:t>3. 服务商提供的服务支持权限细粒度划分，有效防止越权行为导致的敏感数据泄漏事件发生</w:t>
            </w:r>
          </w:p>
          <w:p>
            <w:pPr>
              <w:pStyle w:val="2"/>
              <w:spacing w:line="240" w:lineRule="auto"/>
              <w:rPr>
                <w:rFonts w:hint="eastAsia" w:ascii="仿宋_GB2312" w:hAnsi="仿宋_GB2312" w:eastAsia="仿宋_GB2312" w:cs="仿宋_GB2312"/>
                <w:b/>
                <w:bCs/>
              </w:rPr>
            </w:pPr>
            <w:r>
              <w:rPr>
                <w:rFonts w:hint="eastAsia" w:ascii="仿宋_GB2312" w:hAnsi="仿宋_GB2312" w:eastAsia="仿宋_GB2312" w:cs="仿宋_GB2312"/>
              </w:rPr>
              <w:t>★4. 服务商提供的服务支持高危风险命令实时阻断，保障运维过程中的业务系统安全；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330" w:type="pct"/>
            <w:vAlign w:val="center"/>
          </w:tcPr>
          <w:p>
            <w:pPr>
              <w:pStyle w:val="11"/>
              <w:numPr>
                <w:ilvl w:val="0"/>
                <w:numId w:val="1"/>
              </w:numPr>
              <w:autoSpaceDE w:val="0"/>
              <w:autoSpaceDN w:val="0"/>
              <w:spacing w:line="240" w:lineRule="auto"/>
              <w:ind w:firstLineChars="0"/>
              <w:jc w:val="center"/>
              <w:rPr>
                <w:rFonts w:hint="eastAsia" w:ascii="仿宋_GB2312" w:hAnsi="仿宋_GB2312" w:eastAsia="仿宋_GB2312" w:cs="仿宋_GB2312"/>
                <w:sz w:val="24"/>
                <w:szCs w:val="24"/>
              </w:rPr>
            </w:pPr>
          </w:p>
        </w:tc>
        <w:tc>
          <w:tcPr>
            <w:tcW w:w="807" w:type="pct"/>
            <w:shd w:val="clear" w:color="auto" w:fill="auto"/>
            <w:tcMar>
              <w:top w:w="0" w:type="dxa"/>
              <w:left w:w="108" w:type="dxa"/>
              <w:bottom w:w="0" w:type="dxa"/>
              <w:right w:w="108" w:type="dxa"/>
            </w:tcMar>
            <w:vAlign w:val="center"/>
          </w:tcPr>
          <w:p>
            <w:pPr>
              <w:widowControl/>
              <w:spacing w:line="240" w:lineRule="auto"/>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rPr>
              <w:t>商务部分</w:t>
            </w:r>
          </w:p>
        </w:tc>
        <w:tc>
          <w:tcPr>
            <w:tcW w:w="3863" w:type="pct"/>
            <w:shd w:val="clear" w:color="auto" w:fill="auto"/>
            <w:tcMar>
              <w:top w:w="0" w:type="dxa"/>
              <w:left w:w="108" w:type="dxa"/>
              <w:bottom w:w="0" w:type="dxa"/>
              <w:right w:w="108" w:type="dxa"/>
            </w:tcMar>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1.项目服务期限和交付地点：升级需要在一个月内完成，同时需要在后续保障升级的基础上，维护11个月，总服务期一年。地点由采购人指定。</w:t>
            </w:r>
          </w:p>
          <w:p>
            <w:pPr>
              <w:spacing w:line="240" w:lineRule="auto"/>
              <w:rPr>
                <w:rFonts w:hint="eastAsia" w:ascii="仿宋_GB2312" w:hAnsi="仿宋_GB2312" w:eastAsia="仿宋_GB2312" w:cs="仿宋_GB2312"/>
                <w:b/>
                <w:bCs/>
              </w:rPr>
            </w:pPr>
            <w:r>
              <w:rPr>
                <w:rFonts w:hint="eastAsia" w:ascii="仿宋_GB2312" w:hAnsi="仿宋_GB2312" w:eastAsia="仿宋_GB2312" w:cs="仿宋_GB2312"/>
              </w:rPr>
              <w:t>2.付款方式：合同签订后立即生效，中标方成员进场服务1个月后，可提交付款申请书，招标方需在收到付款申请书30个工作日内支付全部合同金额。</w:t>
            </w:r>
          </w:p>
          <w:p>
            <w:pPr>
              <w:spacing w:line="240" w:lineRule="auto"/>
              <w:rPr>
                <w:rFonts w:hint="eastAsia" w:ascii="仿宋_GB2312" w:hAnsi="仿宋_GB2312" w:eastAsia="仿宋_GB2312" w:cs="仿宋_GB2312"/>
              </w:rPr>
            </w:pPr>
            <w:r>
              <w:rPr>
                <w:rFonts w:hint="eastAsia" w:ascii="仿宋_GB2312" w:hAnsi="仿宋_GB2312" w:eastAsia="仿宋_GB2312" w:cs="仿宋_GB2312"/>
                <w:color w:val="000000"/>
              </w:rPr>
              <w:t>3.★</w:t>
            </w:r>
            <w:r>
              <w:rPr>
                <w:rFonts w:hint="eastAsia" w:ascii="仿宋_GB2312" w:hAnsi="仿宋_GB2312" w:eastAsia="仿宋_GB2312" w:cs="仿宋_GB2312"/>
              </w:rPr>
              <w:t>售后要求：能根据国家最新文件，更新防护规则；网站安全发生问题0.5小时响应，2小时内处理完毕。</w:t>
            </w:r>
          </w:p>
          <w:p>
            <w:pPr>
              <w:spacing w:line="240" w:lineRule="auto"/>
              <w:rPr>
                <w:rFonts w:hint="eastAsia" w:ascii="仿宋_GB2312" w:hAnsi="仿宋_GB2312" w:eastAsia="仿宋_GB2312" w:cs="仿宋_GB2312"/>
              </w:rPr>
            </w:pPr>
            <w:r>
              <w:rPr>
                <w:rFonts w:hint="eastAsia" w:ascii="仿宋_GB2312" w:hAnsi="仿宋_GB2312" w:eastAsia="仿宋_GB2312" w:cs="仿宋_GB2312"/>
                <w:color w:val="000000"/>
              </w:rPr>
              <w:t>4.★</w:t>
            </w:r>
            <w:r>
              <w:rPr>
                <w:rFonts w:hint="eastAsia" w:ascii="仿宋_GB2312" w:hAnsi="仿宋_GB2312" w:eastAsia="仿宋_GB2312" w:cs="仿宋_GB2312"/>
              </w:rPr>
              <w:t>验收的标准：按国家有关规定以及采购人采购文件的质量要求和技术指标、供应商的响应文件及承诺与本合同约定标准进行验收；双方如对质量要求和技术指标的约定标准有相互抵触或异议的事项，由采购人在招标与响应文件中按质量要求和技术指标比较优胜的原则确定该项的约定标准进行验收。</w:t>
            </w:r>
          </w:p>
          <w:p>
            <w:pPr>
              <w:pStyle w:val="2"/>
              <w:spacing w:line="240" w:lineRule="auto"/>
              <w:rPr>
                <w:rFonts w:hint="eastAsia" w:ascii="仿宋_GB2312" w:hAnsi="仿宋_GB2312" w:eastAsia="仿宋_GB2312" w:cs="仿宋_GB2312"/>
                <w:b/>
                <w:bCs/>
              </w:rPr>
            </w:pPr>
            <w:r>
              <w:rPr>
                <w:rFonts w:hint="eastAsia" w:ascii="仿宋_GB2312" w:hAnsi="仿宋_GB2312" w:eastAsia="仿宋_GB2312" w:cs="仿宋_GB2312"/>
                <w:b/>
                <w:bCs/>
              </w:rPr>
              <w:t>（备注：打</w:t>
            </w:r>
            <w:r>
              <w:rPr>
                <w:rFonts w:hint="eastAsia" w:ascii="仿宋_GB2312" w:hAnsi="仿宋_GB2312" w:eastAsia="仿宋_GB2312" w:cs="仿宋_GB2312"/>
                <w:b/>
                <w:bCs/>
                <w:color w:val="000000"/>
              </w:rPr>
              <w:t>★</w:t>
            </w:r>
            <w:r>
              <w:rPr>
                <w:rFonts w:hint="eastAsia" w:ascii="仿宋_GB2312" w:hAnsi="仿宋_GB2312" w:eastAsia="仿宋_GB2312" w:cs="仿宋_GB2312"/>
                <w:b/>
                <w:bCs/>
              </w:rPr>
              <w:t>号的条款为本次招标项目的实质性要求，不允许有负偏离，投标人需提供支撑材料）</w:t>
            </w: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2：商务条款</w:t>
      </w:r>
    </w:p>
    <w:p>
      <w:pPr>
        <w:pStyle w:val="3"/>
        <w:spacing w:before="0" w:after="0" w:line="300" w:lineRule="exact"/>
        <w:ind w:firstLine="562" w:firstLineChars="200"/>
        <w:contextualSpacing/>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r>
        <w:rPr>
          <w:rFonts w:hint="eastAsia" w:ascii="仿宋_GB2312" w:hAnsi="仿宋_GB2312" w:eastAsia="仿宋_GB2312" w:cs="仿宋_GB2312"/>
          <w:b/>
          <w:bCs w:val="0"/>
          <w:sz w:val="28"/>
          <w:szCs w:val="28"/>
        </w:rPr>
        <w:t>项目实施完成期限及地点</w:t>
      </w:r>
    </w:p>
    <w:p>
      <w:pPr>
        <w:spacing w:line="300" w:lineRule="exact"/>
        <w:ind w:firstLine="560" w:firstLineChars="200"/>
        <w:contextualSpacing/>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1.1 </w:t>
      </w:r>
      <w:r>
        <w:rPr>
          <w:rFonts w:hint="eastAsia" w:ascii="仿宋_GB2312" w:hAnsi="仿宋_GB2312" w:eastAsia="仿宋_GB2312" w:cs="仿宋_GB2312"/>
          <w:sz w:val="28"/>
          <w:szCs w:val="28"/>
          <w:lang w:val="en-US" w:eastAsia="zh-CN"/>
        </w:rPr>
        <w:t>交货</w:t>
      </w:r>
      <w:r>
        <w:rPr>
          <w:rFonts w:hint="eastAsia" w:ascii="仿宋_GB2312" w:hAnsi="仿宋_GB2312" w:eastAsia="仿宋_GB2312" w:cs="仿宋_GB2312"/>
          <w:sz w:val="28"/>
          <w:szCs w:val="28"/>
        </w:rPr>
        <w:t>期限：</w:t>
      </w:r>
      <w:r>
        <w:rPr>
          <w:rFonts w:hint="eastAsia" w:ascii="仿宋_GB2312" w:hAnsi="仿宋_GB2312" w:eastAsia="仿宋_GB2312" w:cs="仿宋_GB2312"/>
          <w:sz w:val="28"/>
          <w:szCs w:val="28"/>
          <w:lang w:val="en-US" w:eastAsia="zh-CN"/>
        </w:rPr>
        <w:t>合同签订后60日历日内完成升级、加固、验收。</w:t>
      </w:r>
    </w:p>
    <w:p>
      <w:pPr>
        <w:spacing w:line="300" w:lineRule="exact"/>
        <w:ind w:firstLine="560" w:firstLineChars="200"/>
        <w:contextualSpacing/>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 服务周期：服务期限共计3年，合同1年1签。</w:t>
      </w:r>
      <w:bookmarkStart w:id="3" w:name="_GoBack"/>
      <w:bookmarkEnd w:id="3"/>
    </w:p>
    <w:p>
      <w:pPr>
        <w:spacing w:line="300" w:lineRule="exact"/>
        <w:ind w:firstLine="560" w:firstLineChars="200"/>
        <w:contextualSpacing/>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交货地点：四川省妇幼保健院</w:t>
      </w:r>
      <w:r>
        <w:rPr>
          <w:rFonts w:hint="eastAsia" w:ascii="仿宋_GB2312" w:hAnsi="仿宋_GB2312" w:eastAsia="仿宋_GB2312" w:cs="仿宋_GB2312"/>
          <w:sz w:val="28"/>
          <w:szCs w:val="28"/>
          <w:lang w:eastAsia="zh-CN"/>
        </w:rPr>
        <w:t>。</w:t>
      </w:r>
    </w:p>
    <w:p>
      <w:pPr>
        <w:spacing w:line="300" w:lineRule="exact"/>
        <w:ind w:firstLine="560" w:firstLineChars="200"/>
        <w:contextualSpacing/>
        <w:rPr>
          <w:rFonts w:hint="eastAsia" w:ascii="仿宋_GB2312" w:hAnsi="仿宋_GB2312" w:eastAsia="仿宋_GB2312" w:cs="仿宋_GB2312"/>
          <w:sz w:val="28"/>
          <w:szCs w:val="28"/>
        </w:rPr>
      </w:pPr>
    </w:p>
    <w:p>
      <w:pPr>
        <w:spacing w:line="300" w:lineRule="exact"/>
        <w:ind w:firstLine="562" w:firstLineChars="200"/>
        <w:contextualSpacing/>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val="0"/>
          <w:sz w:val="28"/>
          <w:szCs w:val="28"/>
        </w:rPr>
        <w:t>2．付款方法和条件：</w:t>
      </w:r>
      <w:r>
        <w:rPr>
          <w:rFonts w:hint="eastAsia" w:ascii="仿宋_GB2312" w:hAnsi="仿宋_GB2312" w:eastAsia="仿宋_GB2312" w:cs="仿宋_GB2312"/>
          <w:b w:val="0"/>
          <w:bCs/>
          <w:sz w:val="28"/>
          <w:szCs w:val="28"/>
          <w:lang w:val="en-US" w:eastAsia="zh-CN"/>
        </w:rPr>
        <w:t>按照合同签订方式执行</w:t>
      </w:r>
    </w:p>
    <w:p>
      <w:pPr>
        <w:spacing w:line="300" w:lineRule="exact"/>
        <w:ind w:firstLine="560" w:firstLineChars="200"/>
        <w:contextualSpacing/>
        <w:rPr>
          <w:rFonts w:hint="eastAsia" w:ascii="仿宋_GB2312" w:hAnsi="仿宋_GB2312" w:eastAsia="仿宋_GB2312" w:cs="仿宋_GB2312"/>
          <w:sz w:val="28"/>
          <w:szCs w:val="28"/>
        </w:rPr>
      </w:pPr>
    </w:p>
    <w:p>
      <w:pPr>
        <w:pStyle w:val="3"/>
        <w:spacing w:before="0" w:after="0" w:line="300" w:lineRule="exact"/>
        <w:ind w:firstLine="562" w:firstLineChars="200"/>
        <w:contextualSpacing/>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3、验收标准：</w:t>
      </w:r>
    </w:p>
    <w:p>
      <w:pPr>
        <w:spacing w:line="300" w:lineRule="exact"/>
        <w:ind w:firstLine="560" w:firstLineChars="200"/>
        <w:contextualSpacing/>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1）中标人与采购人将严格按照《财政部关于进一步加强政府采购需求和履约验收管理的指导意见》(财库〔2016〕205号)的要求进行验收。</w:t>
      </w:r>
    </w:p>
    <w:p>
      <w:pPr>
        <w:spacing w:after="160" w:line="300"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2）以招标文件技术参数及要求和相关行业标准为准。</w:t>
      </w: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rPr>
      </w:pPr>
      <w:r>
        <w:rPr>
          <w:rFonts w:hint="eastAsia" w:ascii="仿宋_GB2312" w:hAnsi="仿宋_GB2312" w:eastAsia="仿宋_GB2312" w:cs="仿宋_GB2312"/>
        </w:rPr>
        <w:br w:type="page"/>
      </w:r>
    </w:p>
    <w:p>
      <w:pPr>
        <w:outlineLvl w:val="0"/>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：评分标准</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959"/>
        <w:gridCol w:w="927"/>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b/>
                <w:bCs/>
              </w:rPr>
            </w:pPr>
            <w:r>
              <w:rPr>
                <w:rFonts w:hint="eastAsia" w:ascii="仿宋_GB2312" w:hAnsi="仿宋_GB2312" w:eastAsia="仿宋_GB2312" w:cs="仿宋_GB2312"/>
                <w:b/>
                <w:bCs/>
              </w:rPr>
              <w:t>评分因素</w:t>
            </w:r>
          </w:p>
        </w:tc>
        <w:tc>
          <w:tcPr>
            <w:tcW w:w="544" w:type="pct"/>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b/>
                <w:bCs/>
              </w:rPr>
            </w:pPr>
            <w:r>
              <w:rPr>
                <w:rFonts w:hint="eastAsia" w:ascii="仿宋_GB2312" w:hAnsi="仿宋_GB2312" w:eastAsia="仿宋_GB2312" w:cs="仿宋_GB2312"/>
                <w:b/>
                <w:bCs/>
              </w:rPr>
              <w:t>分值</w:t>
            </w:r>
          </w:p>
        </w:tc>
        <w:tc>
          <w:tcPr>
            <w:tcW w:w="3892" w:type="pct"/>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b/>
                <w:bCs/>
              </w:rPr>
            </w:pPr>
            <w:r>
              <w:rPr>
                <w:rFonts w:hint="eastAsia" w:ascii="仿宋_GB2312" w:hAnsi="仿宋_GB2312" w:eastAsia="仿宋_GB2312" w:cs="仿宋_GB2312"/>
                <w:b/>
                <w:bCs/>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报价部分</w:t>
            </w:r>
          </w:p>
        </w:tc>
        <w:tc>
          <w:tcPr>
            <w:tcW w:w="544" w:type="pct"/>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15</w:t>
            </w:r>
          </w:p>
        </w:tc>
        <w:tc>
          <w:tcPr>
            <w:tcW w:w="3892" w:type="pct"/>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1、评标基准价：所有有效投标报价的平均价即为评标基准价。</w:t>
            </w:r>
          </w:p>
          <w:p>
            <w:pPr>
              <w:pStyle w:val="13"/>
              <w:rPr>
                <w:rFonts w:hint="eastAsia" w:ascii="仿宋_GB2312" w:hAnsi="仿宋_GB2312" w:eastAsia="仿宋_GB2312" w:cs="仿宋_GB2312"/>
              </w:rPr>
            </w:pPr>
            <w:r>
              <w:rPr>
                <w:rFonts w:hint="eastAsia" w:ascii="仿宋_GB2312" w:hAnsi="仿宋_GB2312" w:eastAsia="仿宋_GB2312" w:cs="仿宋_GB2312"/>
              </w:rPr>
              <w:t>2、其他供应商的价格分统一按照下列公式计算：</w:t>
            </w:r>
          </w:p>
          <w:p>
            <w:pPr>
              <w:pStyle w:val="13"/>
              <w:rPr>
                <w:rFonts w:hint="eastAsia" w:ascii="仿宋_GB2312" w:hAnsi="仿宋_GB2312" w:eastAsia="仿宋_GB2312" w:cs="仿宋_GB2312"/>
              </w:rPr>
            </w:pPr>
            <w:r>
              <w:rPr>
                <w:rFonts w:hint="eastAsia" w:ascii="仿宋_GB2312" w:hAnsi="仿宋_GB2312" w:eastAsia="仿宋_GB2312" w:cs="仿宋_GB2312"/>
              </w:rPr>
              <w:t>（1）投标人的评标价比基准价每高1%扣1分。</w:t>
            </w:r>
          </w:p>
          <w:p>
            <w:pPr>
              <w:pStyle w:val="13"/>
              <w:rPr>
                <w:rFonts w:hint="eastAsia" w:ascii="仿宋_GB2312" w:hAnsi="仿宋_GB2312" w:eastAsia="仿宋_GB2312" w:cs="仿宋_GB2312"/>
              </w:rPr>
            </w:pPr>
            <w:r>
              <w:rPr>
                <w:rFonts w:hint="eastAsia" w:ascii="仿宋_GB2312" w:hAnsi="仿宋_GB2312" w:eastAsia="仿宋_GB2312" w:cs="仿宋_GB2312"/>
              </w:rPr>
              <w:t>（2）投标人的评标价比基准价每低1%扣0.5分。</w:t>
            </w:r>
          </w:p>
          <w:p>
            <w:pPr>
              <w:pStyle w:val="13"/>
              <w:rPr>
                <w:rFonts w:hint="eastAsia" w:ascii="仿宋_GB2312" w:hAnsi="仿宋_GB2312" w:eastAsia="仿宋_GB2312" w:cs="仿宋_GB2312"/>
              </w:rPr>
            </w:pPr>
            <w:r>
              <w:rPr>
                <w:rFonts w:hint="eastAsia" w:ascii="仿宋_GB2312" w:hAnsi="仿宋_GB2312" w:eastAsia="仿宋_GB2312" w:cs="仿宋_GB2312"/>
              </w:rPr>
              <w:t>注：计算结果四舍五入到整数，扣完为止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95" w:hRule="atLeast"/>
          <w:jc w:val="center"/>
        </w:trPr>
        <w:tc>
          <w:tcPr>
            <w:tcW w:w="563" w:type="pct"/>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技术部分</w:t>
            </w:r>
          </w:p>
        </w:tc>
        <w:tc>
          <w:tcPr>
            <w:tcW w:w="544" w:type="pct"/>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35</w:t>
            </w:r>
          </w:p>
        </w:tc>
        <w:tc>
          <w:tcPr>
            <w:tcW w:w="3892" w:type="pct"/>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rPr>
                <w:rFonts w:hint="eastAsia" w:ascii="仿宋_GB2312" w:hAnsi="仿宋_GB2312" w:eastAsia="仿宋_GB2312" w:cs="仿宋_GB2312"/>
                <w:b/>
                <w:bCs/>
              </w:rPr>
            </w:pPr>
            <w:r>
              <w:rPr>
                <w:rFonts w:hint="eastAsia" w:ascii="仿宋_GB2312" w:hAnsi="仿宋_GB2312" w:eastAsia="仿宋_GB2312" w:cs="仿宋_GB2312"/>
              </w:rPr>
              <w:t>供应商应完全符合技术参数要求，全部有效响应得35分，且</w:t>
            </w:r>
            <w:r>
              <w:rPr>
                <w:rFonts w:hint="eastAsia" w:ascii="仿宋_GB2312" w:hAnsi="仿宋_GB2312" w:eastAsia="仿宋_GB2312" w:cs="仿宋_GB2312"/>
                <w:b/>
                <w:bCs/>
              </w:rPr>
              <w:t>带“★”号条款必须响应，不响应不得分；</w:t>
            </w:r>
            <w:r>
              <w:rPr>
                <w:rFonts w:hint="eastAsia" w:ascii="仿宋_GB2312" w:hAnsi="仿宋_GB2312" w:eastAsia="仿宋_GB2312" w:cs="仿宋_GB2312"/>
              </w:rPr>
              <w:t>非“★”号条款有负偏离的按如下要求扣分，扣完为止：</w:t>
            </w:r>
          </w:p>
          <w:p>
            <w:pPr>
              <w:pStyle w:val="2"/>
              <w:rPr>
                <w:rFonts w:hint="eastAsia" w:ascii="仿宋_GB2312" w:hAnsi="仿宋_GB2312" w:eastAsia="仿宋_GB2312" w:cs="仿宋_GB2312"/>
              </w:rPr>
            </w:pPr>
            <w:r>
              <w:rPr>
                <w:rFonts w:hint="eastAsia" w:ascii="仿宋_GB2312" w:hAnsi="仿宋_GB2312" w:eastAsia="仿宋_GB2312" w:cs="仿宋_GB2312"/>
              </w:rPr>
              <w:t>技术参数要求条款响应得分=（供应商满足技术参数要求条款的数量÷ 技术参数要求条款总数量）×技术分。单项汇总得分保留2位小数。</w:t>
            </w:r>
          </w:p>
          <w:p>
            <w:pPr>
              <w:pStyle w:val="2"/>
              <w:rPr>
                <w:rFonts w:hint="eastAsia" w:ascii="仿宋_GB2312" w:hAnsi="仿宋_GB2312" w:eastAsia="仿宋_GB2312" w:cs="仿宋_GB2312"/>
              </w:rPr>
            </w:pPr>
            <w:r>
              <w:rPr>
                <w:rFonts w:hint="eastAsia" w:ascii="仿宋_GB2312" w:hAnsi="仿宋_GB2312" w:eastAsia="仿宋_GB2312" w:cs="仿宋_GB2312"/>
              </w:rPr>
              <w:t>注：</w:t>
            </w:r>
          </w:p>
          <w:p>
            <w:pPr>
              <w:pStyle w:val="2"/>
              <w:rPr>
                <w:rFonts w:hint="eastAsia" w:ascii="仿宋_GB2312" w:hAnsi="仿宋_GB2312" w:eastAsia="仿宋_GB2312" w:cs="仿宋_GB2312"/>
              </w:rPr>
            </w:pPr>
            <w:r>
              <w:rPr>
                <w:rFonts w:hint="eastAsia" w:ascii="仿宋_GB2312" w:hAnsi="仿宋_GB2312" w:eastAsia="仿宋_GB2312" w:cs="仿宋_GB2312"/>
              </w:rPr>
              <w:t>（1）如果技术条款对技术支撑材料有要求，应按要求提供，否则对应技术参数条款将视为不满足。</w:t>
            </w:r>
          </w:p>
          <w:p>
            <w:pPr>
              <w:pStyle w:val="2"/>
              <w:rPr>
                <w:rFonts w:hint="eastAsia" w:ascii="仿宋_GB2312" w:hAnsi="仿宋_GB2312" w:eastAsia="仿宋_GB2312" w:cs="仿宋_GB2312"/>
              </w:rPr>
            </w:pPr>
            <w:r>
              <w:rPr>
                <w:rFonts w:hint="eastAsia" w:ascii="仿宋_GB2312" w:hAnsi="仿宋_GB2312" w:eastAsia="仿宋_GB2312" w:cs="仿宋_GB2312"/>
              </w:rPr>
              <w:t>（2）技术条款编号以1、2、3......为一条。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95" w:hRule="atLeast"/>
          <w:jc w:val="center"/>
        </w:trPr>
        <w:tc>
          <w:tcPr>
            <w:tcW w:w="563" w:type="pct"/>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实施方案</w:t>
            </w:r>
          </w:p>
        </w:tc>
        <w:tc>
          <w:tcPr>
            <w:tcW w:w="544" w:type="pct"/>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15</w:t>
            </w:r>
          </w:p>
        </w:tc>
        <w:tc>
          <w:tcPr>
            <w:tcW w:w="3892" w:type="pct"/>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实施方案设计完整，与本项目建设需求极为匹配得10-15分；</w:t>
            </w:r>
          </w:p>
          <w:p>
            <w:pPr>
              <w:pStyle w:val="13"/>
              <w:rPr>
                <w:rFonts w:hint="eastAsia" w:ascii="仿宋_GB2312" w:hAnsi="仿宋_GB2312" w:eastAsia="仿宋_GB2312" w:cs="仿宋_GB2312"/>
              </w:rPr>
            </w:pPr>
            <w:r>
              <w:rPr>
                <w:rFonts w:hint="eastAsia" w:ascii="仿宋_GB2312" w:hAnsi="仿宋_GB2312" w:eastAsia="仿宋_GB2312" w:cs="仿宋_GB2312"/>
              </w:rPr>
              <w:t>实施方案设计基本完整，与本项目建设需求基本匹配得7-9分；</w:t>
            </w:r>
          </w:p>
          <w:p>
            <w:pPr>
              <w:pStyle w:val="13"/>
              <w:rPr>
                <w:rFonts w:hint="eastAsia" w:ascii="仿宋_GB2312" w:hAnsi="仿宋_GB2312" w:eastAsia="仿宋_GB2312" w:cs="仿宋_GB2312"/>
              </w:rPr>
            </w:pPr>
            <w:r>
              <w:rPr>
                <w:rFonts w:hint="eastAsia" w:ascii="仿宋_GB2312" w:hAnsi="仿宋_GB2312" w:eastAsia="仿宋_GB2312" w:cs="仿宋_GB2312"/>
              </w:rPr>
              <w:t>实施方案设计不够完整，与本项目建设需求不十分匹配得4-6分；</w:t>
            </w:r>
          </w:p>
          <w:p>
            <w:pPr>
              <w:pStyle w:val="13"/>
              <w:rPr>
                <w:rFonts w:hint="eastAsia" w:ascii="仿宋_GB2312" w:hAnsi="仿宋_GB2312" w:eastAsia="仿宋_GB2312" w:cs="仿宋_GB2312"/>
              </w:rPr>
            </w:pPr>
            <w:r>
              <w:rPr>
                <w:rFonts w:hint="eastAsia" w:ascii="仿宋_GB2312" w:hAnsi="仿宋_GB2312" w:eastAsia="仿宋_GB2312" w:cs="仿宋_GB2312"/>
              </w:rPr>
              <w:t>实施方案设计不完整，与本项目建设需求不匹配得0-3分。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36" w:hRule="atLeast"/>
          <w:jc w:val="center"/>
        </w:trPr>
        <w:tc>
          <w:tcPr>
            <w:tcW w:w="563" w:type="pct"/>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业绩部分</w:t>
            </w:r>
          </w:p>
        </w:tc>
        <w:tc>
          <w:tcPr>
            <w:tcW w:w="544" w:type="pct"/>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5</w:t>
            </w:r>
          </w:p>
        </w:tc>
        <w:tc>
          <w:tcPr>
            <w:tcW w:w="3892" w:type="pct"/>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提供5份2021年01月01日至今三级以上甲等医院类似项目业绩合同，每项1分,最高可得5分。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88" w:hRule="atLeast"/>
          <w:jc w:val="center"/>
        </w:trPr>
        <w:tc>
          <w:tcPr>
            <w:tcW w:w="563" w:type="pct"/>
            <w:tcBorders>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企业资质</w:t>
            </w:r>
          </w:p>
        </w:tc>
        <w:tc>
          <w:tcPr>
            <w:tcW w:w="544" w:type="pct"/>
            <w:tcBorders>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15</w:t>
            </w:r>
          </w:p>
        </w:tc>
        <w:tc>
          <w:tcPr>
            <w:tcW w:w="3892" w:type="pct"/>
            <w:tcBorders>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1、具有有效期内的软件企业证书和软件产品证书得3分；</w:t>
            </w:r>
          </w:p>
          <w:p>
            <w:pPr>
              <w:pStyle w:val="13"/>
              <w:rPr>
                <w:rFonts w:hint="eastAsia" w:ascii="仿宋_GB2312" w:hAnsi="仿宋_GB2312" w:eastAsia="仿宋_GB2312" w:cs="仿宋_GB2312"/>
              </w:rPr>
            </w:pPr>
            <w:r>
              <w:rPr>
                <w:rFonts w:hint="eastAsia" w:ascii="仿宋_GB2312" w:hAnsi="仿宋_GB2312" w:eastAsia="仿宋_GB2312" w:cs="仿宋_GB2312"/>
              </w:rPr>
              <w:t>2、具有政府部门颁发的有效期内的高新企业证书，得2分；</w:t>
            </w:r>
          </w:p>
          <w:p>
            <w:pPr>
              <w:pStyle w:val="13"/>
              <w:rPr>
                <w:rFonts w:hint="eastAsia" w:ascii="仿宋_GB2312" w:hAnsi="仿宋_GB2312" w:eastAsia="仿宋_GB2312" w:cs="仿宋_GB2312"/>
              </w:rPr>
            </w:pPr>
            <w:r>
              <w:rPr>
                <w:rFonts w:hint="eastAsia" w:ascii="仿宋_GB2312" w:hAnsi="仿宋_GB2312" w:eastAsia="仿宋_GB2312" w:cs="仿宋_GB2312"/>
              </w:rPr>
              <w:t>3、具有有效期内的ISO9001质量管理体系认证证书，得2分；</w:t>
            </w:r>
          </w:p>
          <w:p>
            <w:pPr>
              <w:pStyle w:val="13"/>
              <w:rPr>
                <w:rFonts w:hint="eastAsia" w:ascii="仿宋_GB2312" w:hAnsi="仿宋_GB2312" w:eastAsia="仿宋_GB2312" w:cs="仿宋_GB2312"/>
              </w:rPr>
            </w:pPr>
            <w:r>
              <w:rPr>
                <w:rFonts w:hint="eastAsia" w:ascii="仿宋_GB2312" w:hAnsi="仿宋_GB2312" w:eastAsia="仿宋_GB2312" w:cs="仿宋_GB2312"/>
              </w:rPr>
              <w:t>4、具有有效期内的ISO20000信息技术服务管理体系认证证书，得2分；</w:t>
            </w:r>
          </w:p>
          <w:p>
            <w:pPr>
              <w:pStyle w:val="13"/>
              <w:rPr>
                <w:rFonts w:hint="eastAsia" w:ascii="仿宋_GB2312" w:hAnsi="仿宋_GB2312" w:eastAsia="仿宋_GB2312" w:cs="仿宋_GB2312"/>
              </w:rPr>
            </w:pPr>
            <w:r>
              <w:rPr>
                <w:rFonts w:hint="eastAsia" w:ascii="仿宋_GB2312" w:hAnsi="仿宋_GB2312" w:eastAsia="仿宋_GB2312" w:cs="仿宋_GB2312"/>
              </w:rPr>
              <w:t>5、具有有效期内的ISO27001信息安全管理体系认证证书，得2分；</w:t>
            </w:r>
          </w:p>
          <w:p>
            <w:pPr>
              <w:pStyle w:val="13"/>
              <w:rPr>
                <w:rFonts w:hint="eastAsia" w:ascii="仿宋_GB2312" w:hAnsi="仿宋_GB2312" w:eastAsia="仿宋_GB2312" w:cs="仿宋_GB2312"/>
              </w:rPr>
            </w:pPr>
            <w:r>
              <w:rPr>
                <w:rFonts w:hint="eastAsia" w:ascii="仿宋_GB2312" w:hAnsi="仿宋_GB2312" w:eastAsia="仿宋_GB2312" w:cs="仿宋_GB2312"/>
              </w:rPr>
              <w:t>6、具有有效期内的“信息系统安全保护软件系统”、“网运维管理系统”、“AI智能网站数据监测”、“网页防篡改管理系统”软件著作权证书，每提供一个得1分。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195" w:hRule="atLeast"/>
          <w:jc w:val="center"/>
        </w:trPr>
        <w:tc>
          <w:tcPr>
            <w:tcW w:w="563" w:type="pct"/>
            <w:tcBorders>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等保测评</w:t>
            </w:r>
          </w:p>
        </w:tc>
        <w:tc>
          <w:tcPr>
            <w:tcW w:w="544" w:type="pct"/>
            <w:tcBorders>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w:t>
            </w:r>
          </w:p>
        </w:tc>
        <w:tc>
          <w:tcPr>
            <w:tcW w:w="3892" w:type="pct"/>
            <w:tcBorders>
              <w:left w:val="single" w:color="auto" w:sz="4" w:space="0"/>
              <w:right w:val="single" w:color="auto" w:sz="4" w:space="0"/>
            </w:tcBorders>
            <w:tcMar>
              <w:top w:w="170" w:type="dxa"/>
              <w:left w:w="108" w:type="dxa"/>
              <w:bottom w:w="170" w:type="dxa"/>
              <w:right w:w="108" w:type="dxa"/>
            </w:tcMar>
            <w:vAlign w:val="center"/>
          </w:tcPr>
          <w:p>
            <w:pPr>
              <w:ind w:firstLine="560"/>
              <w:rPr>
                <w:rFonts w:hint="eastAsia" w:ascii="仿宋_GB2312" w:hAnsi="仿宋_GB2312" w:eastAsia="仿宋_GB2312" w:cs="仿宋_GB2312"/>
              </w:rPr>
            </w:pPr>
            <w:r>
              <w:rPr>
                <w:rFonts w:hint="eastAsia" w:ascii="仿宋_GB2312" w:hAnsi="仿宋_GB2312" w:eastAsia="仿宋_GB2312" w:cs="仿宋_GB2312"/>
              </w:rPr>
              <w:t>为保障本次项目建设的安全性符合国家要求，投标人须提供5个以上（含）门户网站信息管理系统安全等级保护三级的协助申请函、测评报告、备案证明，每提供一个得2分。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87" w:hRule="atLeast"/>
          <w:jc w:val="center"/>
        </w:trPr>
        <w:tc>
          <w:tcPr>
            <w:tcW w:w="563" w:type="pct"/>
            <w:tcBorders>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本地服务</w:t>
            </w:r>
          </w:p>
        </w:tc>
        <w:tc>
          <w:tcPr>
            <w:tcW w:w="544" w:type="pct"/>
            <w:tcBorders>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5</w:t>
            </w:r>
          </w:p>
        </w:tc>
        <w:tc>
          <w:tcPr>
            <w:tcW w:w="3892" w:type="pct"/>
            <w:tcBorders>
              <w:left w:val="single" w:color="auto" w:sz="4" w:space="0"/>
              <w:right w:val="single" w:color="auto" w:sz="4" w:space="0"/>
            </w:tcBorders>
            <w:tcMar>
              <w:top w:w="170" w:type="dxa"/>
              <w:left w:w="108" w:type="dxa"/>
              <w:bottom w:w="170" w:type="dxa"/>
              <w:right w:w="108" w:type="dxa"/>
            </w:tcMar>
            <w:vAlign w:val="center"/>
          </w:tcPr>
          <w:p>
            <w:pPr>
              <w:ind w:firstLine="560"/>
              <w:rPr>
                <w:rFonts w:hint="eastAsia" w:ascii="仿宋_GB2312" w:hAnsi="仿宋_GB2312" w:eastAsia="仿宋_GB2312" w:cs="仿宋_GB2312"/>
              </w:rPr>
            </w:pPr>
            <w:r>
              <w:rPr>
                <w:rFonts w:hint="eastAsia" w:ascii="仿宋_GB2312" w:hAnsi="仿宋_GB2312" w:eastAsia="仿宋_GB2312" w:cs="仿宋_GB2312"/>
              </w:rPr>
              <w:t>投标人在</w:t>
            </w:r>
            <w:r>
              <w:rPr>
                <w:rFonts w:hint="eastAsia" w:ascii="仿宋_GB2312" w:hAnsi="仿宋_GB2312" w:eastAsia="仿宋_GB2312" w:cs="仿宋_GB2312"/>
                <w:b/>
                <w:bCs/>
              </w:rPr>
              <w:t>本地</w:t>
            </w:r>
            <w:r>
              <w:rPr>
                <w:rFonts w:hint="eastAsia" w:ascii="仿宋_GB2312" w:hAnsi="仿宋_GB2312" w:eastAsia="仿宋_GB2312" w:cs="仿宋_GB2312"/>
              </w:rPr>
              <w:t>（四川/成都）有优质的本地化服务团队，且常驻售后服务人员不得少于5人，须提供机构人员5人以上不少于6个月在职证明材料，（2021年度至今的社保和公积金缴费证明）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0" w:hRule="atLeast"/>
          <w:jc w:val="center"/>
        </w:trPr>
        <w:tc>
          <w:tcPr>
            <w:tcW w:w="5000" w:type="pct"/>
            <w:gridSpan w:val="3"/>
            <w:tcBorders>
              <w:left w:val="single" w:color="auto" w:sz="4" w:space="0"/>
              <w:right w:val="single" w:color="auto" w:sz="4" w:space="0"/>
            </w:tcBorders>
            <w:tcMar>
              <w:top w:w="170" w:type="dxa"/>
              <w:left w:w="108" w:type="dxa"/>
              <w:bottom w:w="170" w:type="dxa"/>
              <w:right w:w="108" w:type="dxa"/>
            </w:tcMar>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注：需提供业绩合同、证书复印件并加盖公章，</w:t>
            </w:r>
            <w:r>
              <w:rPr>
                <w:rFonts w:hint="eastAsia" w:ascii="仿宋_GB2312" w:hAnsi="仿宋_GB2312" w:eastAsia="仿宋_GB2312" w:cs="仿宋_GB2312"/>
                <w:b/>
                <w:bCs/>
              </w:rPr>
              <w:t>原件现场备查</w:t>
            </w:r>
            <w:r>
              <w:rPr>
                <w:rFonts w:hint="eastAsia" w:ascii="仿宋_GB2312" w:hAnsi="仿宋_GB2312" w:eastAsia="仿宋_GB2312" w:cs="仿宋_GB2312"/>
              </w:rPr>
              <w:t>。</w:t>
            </w:r>
          </w:p>
        </w:tc>
      </w:tr>
    </w:tbl>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黑体" w:hAnsi="宋体" w:eastAsia="黑体"/>
          <w:bCs/>
          <w:sz w:val="32"/>
          <w:szCs w:val="32"/>
        </w:rPr>
      </w:pPr>
      <w:r>
        <w:rPr>
          <w:rFonts w:hint="eastAsia" w:ascii="微软雅黑" w:hAnsi="微软雅黑" w:eastAsia="微软雅黑"/>
          <w:b/>
          <w:color w:val="000000"/>
          <w:sz w:val="28"/>
          <w:szCs w:val="21"/>
        </w:rPr>
        <w:t>附件2：</w:t>
      </w:r>
    </w:p>
    <w:p>
      <w:pPr>
        <w:spacing w:line="0"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1、封面（公司、项目、联系人、联系方式）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2、目录</w:t>
      </w:r>
      <w:r>
        <w:rPr>
          <w:rFonts w:hint="eastAsia" w:cs="Segoe UI" w:asciiTheme="minorEastAsia" w:hAnsiTheme="minorEastAsia"/>
          <w:color w:val="333333"/>
          <w:spacing w:val="8"/>
          <w:kern w:val="0"/>
          <w:sz w:val="24"/>
          <w:szCs w:val="24"/>
        </w:rPr>
        <w:t>（</w:t>
      </w:r>
      <w:r>
        <w:rPr>
          <w:rFonts w:hint="eastAsia" w:cs="Segoe UI" w:asciiTheme="minorEastAsia" w:hAnsiTheme="minorEastAsia"/>
          <w:b/>
          <w:color w:val="FF0000"/>
          <w:spacing w:val="8"/>
          <w:kern w:val="0"/>
          <w:sz w:val="24"/>
          <w:szCs w:val="24"/>
        </w:rPr>
        <w:t>标记页码</w:t>
      </w:r>
      <w:r>
        <w:rPr>
          <w:rFonts w:hint="eastAsia" w:cs="Segoe UI" w:asciiTheme="minorEastAsia" w:hAnsiTheme="minorEastAsia"/>
          <w:color w:val="333333"/>
          <w:spacing w:val="8"/>
          <w:kern w:val="0"/>
          <w:sz w:val="24"/>
          <w:szCs w:val="24"/>
        </w:rPr>
        <w:t>）</w:t>
      </w:r>
    </w:p>
    <w:p>
      <w:pPr>
        <w:tabs>
          <w:tab w:val="left" w:pos="0"/>
        </w:tabs>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3、品目及报价表（格式见附件</w:t>
      </w:r>
      <w:r>
        <w:rPr>
          <w:rFonts w:hint="eastAsia" w:ascii="微软雅黑" w:hAnsi="微软雅黑" w:eastAsia="微软雅黑"/>
          <w:bCs/>
          <w:spacing w:val="8"/>
          <w:sz w:val="24"/>
          <w:szCs w:val="24"/>
          <w:lang w:val="en-US" w:eastAsia="zh-CN"/>
        </w:rPr>
        <w:t>3</w:t>
      </w:r>
      <w:r>
        <w:rPr>
          <w:rFonts w:hint="eastAsia" w:ascii="微软雅黑" w:hAnsi="微软雅黑" w:eastAsia="微软雅黑"/>
          <w:bCs/>
          <w:spacing w:val="8"/>
          <w:sz w:val="24"/>
          <w:szCs w:val="24"/>
        </w:rPr>
        <w:t>）</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4、规格型号、配置及偏离表（格式见附件3）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5、企业营业执照（复印件）</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6、</w:t>
      </w:r>
      <w:r>
        <w:rPr>
          <w:rFonts w:hint="eastAsia" w:ascii="微软雅黑" w:hAnsi="微软雅黑" w:eastAsia="微软雅黑"/>
          <w:sz w:val="24"/>
          <w:szCs w:val="24"/>
        </w:rPr>
        <w:t>组织机构代码证、税务登记证（复印件）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7、法定代表人授权书（原件，格式见附件3）暨经办人授权书，法人、经办人身份证（复印件）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8、生产厂家授权书（投标人不是生产厂家的）</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9、</w:t>
      </w:r>
      <w:r>
        <w:rPr>
          <w:rFonts w:hint="eastAsia" w:ascii="微软雅黑" w:hAnsi="微软雅黑" w:eastAsia="微软雅黑"/>
          <w:bCs/>
          <w:sz w:val="24"/>
          <w:szCs w:val="24"/>
        </w:rPr>
        <w:t>如有</w:t>
      </w:r>
      <w:r>
        <w:rPr>
          <w:rFonts w:hint="eastAsia" w:ascii="微软雅黑" w:hAnsi="微软雅黑" w:eastAsia="微软雅黑"/>
          <w:sz w:val="24"/>
          <w:szCs w:val="24"/>
        </w:rPr>
        <w:t>产品质量和企业管理体系认证（考核），请提供的有效证明文件的复印或扫描件，质量管理体系认证包括FDA、CE、ISO等认证（提供中文翻译复印件）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10、质量检测中心或法定机构出具的产品检测报告，性能自测报告，出厂检验报告的复印或扫描件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11、如有其他证书：产品在技术、节能、安全、环保和自主创新方面获得的认证证书或制造厂家和产品所获国家级荣誉称号等复印或扫描件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bCs/>
          <w:sz w:val="24"/>
          <w:szCs w:val="24"/>
        </w:rPr>
        <w:t>12、</w:t>
      </w:r>
      <w:r>
        <w:rPr>
          <w:rFonts w:hint="eastAsia" w:ascii="微软雅黑" w:hAnsi="微软雅黑" w:eastAsia="微软雅黑"/>
          <w:sz w:val="24"/>
          <w:szCs w:val="24"/>
        </w:rPr>
        <w:t>产品执行标准（提供产品注册标准：YZB等资料供评审）</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13、</w:t>
      </w:r>
      <w:r>
        <w:rPr>
          <w:rFonts w:hint="eastAsia" w:ascii="微软雅黑" w:hAnsi="微软雅黑" w:eastAsia="微软雅黑"/>
          <w:bCs/>
          <w:sz w:val="24"/>
          <w:szCs w:val="24"/>
        </w:rPr>
        <w:t>产品质量及货源保证书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14、</w:t>
      </w:r>
      <w:r>
        <w:rPr>
          <w:rFonts w:hint="eastAsia" w:ascii="微软雅黑" w:hAnsi="微软雅黑" w:eastAsia="微软雅黑"/>
          <w:bCs/>
          <w:spacing w:val="8"/>
          <w:sz w:val="24"/>
          <w:szCs w:val="24"/>
        </w:rPr>
        <w:t>售后</w:t>
      </w:r>
      <w:r>
        <w:rPr>
          <w:rFonts w:hint="eastAsia" w:ascii="微软雅黑" w:hAnsi="微软雅黑" w:eastAsia="微软雅黑"/>
          <w:bCs/>
          <w:sz w:val="24"/>
          <w:szCs w:val="24"/>
        </w:rPr>
        <w:t>服务承诺书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15、</w:t>
      </w:r>
      <w:r>
        <w:rPr>
          <w:rFonts w:hint="eastAsia" w:ascii="微软雅黑" w:hAnsi="微软雅黑" w:eastAsia="微软雅黑"/>
          <w:bCs/>
          <w:spacing w:val="8"/>
          <w:sz w:val="24"/>
          <w:szCs w:val="24"/>
        </w:rPr>
        <w:t>如有，提供进口原材料证明书或产品报关资料等</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16、产品说明书或</w:t>
      </w:r>
      <w:r>
        <w:rPr>
          <w:rFonts w:hint="eastAsia" w:ascii="微软雅黑" w:hAnsi="微软雅黑" w:eastAsia="微软雅黑"/>
          <w:sz w:val="24"/>
          <w:szCs w:val="24"/>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17、</w:t>
      </w:r>
      <w:r>
        <w:rPr>
          <w:rFonts w:hint="eastAsia" w:ascii="微软雅黑" w:hAnsi="微软雅黑" w:eastAsia="微软雅黑"/>
          <w:bCs/>
          <w:sz w:val="24"/>
          <w:szCs w:val="24"/>
        </w:rPr>
        <w:t>如有物流公司配送，请提供</w:t>
      </w:r>
      <w:r>
        <w:rPr>
          <w:rFonts w:hint="eastAsia" w:ascii="微软雅黑" w:hAnsi="微软雅黑" w:eastAsia="微软雅黑"/>
          <w:sz w:val="24"/>
          <w:szCs w:val="24"/>
        </w:rPr>
        <w:t>配送证明材料：配送商基本情况、配送商营业执照复印件、配送商经营许可证复印件</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18、</w:t>
      </w:r>
      <w:r>
        <w:rPr>
          <w:rFonts w:hint="eastAsia" w:ascii="微软雅黑" w:hAnsi="微软雅黑" w:eastAsia="微软雅黑"/>
          <w:sz w:val="24"/>
          <w:szCs w:val="24"/>
        </w:rPr>
        <w:t>如有，国家规定的其它相关资质证明文件或其它涉及特许经营许可的须提供相关证书。如：卫生许可证、药品经营许可证、生产批件或新药证书等；</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19、封底</w:t>
      </w:r>
    </w:p>
    <w:p>
      <w:pPr>
        <w:tabs>
          <w:tab w:val="left" w:pos="0"/>
        </w:tabs>
        <w:spacing w:line="0" w:lineRule="atLeast"/>
        <w:ind w:firstLine="480" w:firstLineChars="200"/>
        <w:rPr>
          <w:rFonts w:ascii="微软雅黑" w:hAnsi="微软雅黑" w:eastAsia="微软雅黑"/>
          <w:bCs/>
          <w:sz w:val="24"/>
          <w:szCs w:val="24"/>
        </w:rPr>
      </w:pPr>
    </w:p>
    <w:p>
      <w:pPr>
        <w:spacing w:line="0" w:lineRule="atLeast"/>
        <w:rPr>
          <w:rFonts w:ascii="微软雅黑" w:hAnsi="微软雅黑" w:eastAsia="微软雅黑"/>
          <w:b/>
          <w:sz w:val="24"/>
          <w:szCs w:val="24"/>
        </w:rPr>
      </w:pPr>
      <w:r>
        <w:rPr>
          <w:rFonts w:hint="eastAsia" w:ascii="微软雅黑" w:hAnsi="微软雅黑" w:eastAsia="微软雅黑"/>
          <w:b/>
          <w:bCs/>
          <w:sz w:val="24"/>
          <w:szCs w:val="24"/>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rPr>
      </w:pPr>
      <w:r>
        <w:rPr>
          <w:rFonts w:hint="eastAsia" w:ascii="微软雅黑" w:hAnsi="微软雅黑" w:eastAsia="微软雅黑" w:cs="Times New Roman"/>
          <w:b/>
          <w:color w:val="000000"/>
          <w:sz w:val="28"/>
          <w:szCs w:val="21"/>
        </w:rPr>
        <w:t>附件3：</w:t>
      </w:r>
    </w:p>
    <w:p>
      <w:pPr>
        <w:adjustRightInd w:val="0"/>
        <w:spacing w:line="400" w:lineRule="exac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Times New Roman"/>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bl>
    <w:p>
      <w:pPr>
        <w:spacing w:line="400" w:lineRule="exact"/>
        <w:ind w:firstLine="480"/>
        <w:jc w:val="left"/>
        <w:rPr>
          <w:rFonts w:ascii="微软雅黑" w:hAnsi="微软雅黑" w:eastAsia="微软雅黑" w:cs="Times New Roman"/>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spacing w:line="400" w:lineRule="exac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供应商名称（盖章）：        </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r>
        <w:rPr>
          <w:rFonts w:hint="eastAsia" w:ascii="微软雅黑" w:hAnsi="微软雅黑" w:eastAsia="微软雅黑"/>
          <w:bCs/>
          <w:sz w:val="24"/>
          <w:u w:val="single"/>
          <w:lang w:val="en-US" w:eastAsia="zh-CN"/>
        </w:rPr>
        <w:t xml:space="preserve">     </w:t>
      </w:r>
      <w:r>
        <w:rPr>
          <w:rFonts w:hint="eastAsia" w:ascii="微软雅黑" w:hAnsi="微软雅黑" w:eastAsia="微软雅黑"/>
          <w:bCs/>
          <w:sz w:val="24"/>
          <w:u w:val="single"/>
        </w:rPr>
        <w:t xml:space="preserve">     </w:t>
      </w:r>
    </w:p>
    <w:p>
      <w:pPr>
        <w:spacing w:line="400" w:lineRule="exact"/>
        <w:ind w:firstLine="480"/>
        <w:rPr>
          <w:rFonts w:ascii="微软雅黑" w:hAnsi="微软雅黑" w:eastAsia="微软雅黑"/>
          <w:sz w:val="24"/>
        </w:rPr>
      </w:pPr>
      <w:r>
        <w:rPr>
          <w:rFonts w:hint="eastAsia" w:ascii="微软雅黑" w:hAnsi="微软雅黑" w:eastAsia="微软雅黑"/>
          <w:sz w:val="24"/>
        </w:rPr>
        <w:t>日期：</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spacing w:line="360" w:lineRule="auto"/>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bl>
    <w:p>
      <w:pPr>
        <w:spacing w:line="360" w:lineRule="auto"/>
        <w:ind w:firstLine="480" w:firstLineChars="200"/>
        <w:rPr>
          <w:rFonts w:ascii="微软雅黑" w:hAnsi="微软雅黑" w:eastAsia="微软雅黑" w:cs="Times New Roman"/>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jc w:val="center"/>
        <w:rPr>
          <w:rFonts w:ascii="微软雅黑" w:hAnsi="微软雅黑" w:eastAsia="微软雅黑"/>
          <w:b/>
          <w:bCs/>
          <w:sz w:val="24"/>
        </w:rPr>
      </w:pPr>
    </w:p>
    <w:p>
      <w:pPr>
        <w:jc w:val="center"/>
        <w:rPr>
          <w:rFonts w:ascii="微软雅黑" w:hAnsi="微软雅黑" w:eastAsia="微软雅黑"/>
          <w:sz w:val="32"/>
          <w:szCs w:val="32"/>
        </w:rPr>
      </w:pPr>
      <w:r>
        <w:rPr>
          <w:rFonts w:hint="eastAsia" w:ascii="微软雅黑" w:hAnsi="微软雅黑" w:eastAsia="微软雅黑"/>
          <w:sz w:val="32"/>
          <w:szCs w:val="32"/>
        </w:rPr>
        <w:t>用户情况表</w:t>
      </w:r>
    </w:p>
    <w:p>
      <w:pPr>
        <w:jc w:val="center"/>
        <w:rPr>
          <w:rFonts w:ascii="微软雅黑" w:hAnsi="微软雅黑" w:eastAsia="微软雅黑"/>
          <w:sz w:val="32"/>
          <w:szCs w:val="32"/>
        </w:rPr>
      </w:pPr>
    </w:p>
    <w:tbl>
      <w:tblPr>
        <w:tblStyle w:val="6"/>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bl>
    <w:p>
      <w:pPr>
        <w:spacing w:line="360" w:lineRule="auto"/>
        <w:rPr>
          <w:rFonts w:ascii="微软雅黑" w:hAnsi="微软雅黑" w:eastAsia="微软雅黑" w:cs="Times New Roman"/>
          <w:b/>
          <w:bCs/>
          <w:sz w:val="24"/>
        </w:rPr>
      </w:pPr>
    </w:p>
    <w:p>
      <w:pPr>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adjustRightInd w:val="0"/>
        <w:spacing w:line="360" w:lineRule="auto"/>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spacing w:line="360" w:lineRule="auto"/>
        <w:ind w:firstLine="449" w:firstLineChars="187"/>
        <w:jc w:val="left"/>
        <w:rPr>
          <w:rFonts w:ascii="微软雅黑" w:hAnsi="微软雅黑" w:eastAsia="微软雅黑"/>
          <w:b/>
          <w:sz w:val="24"/>
        </w:rPr>
      </w:pPr>
    </w:p>
    <w:p>
      <w:pPr>
        <w:spacing w:line="360" w:lineRule="auto"/>
        <w:ind w:firstLine="449" w:firstLineChars="187"/>
        <w:jc w:val="left"/>
        <w:rPr>
          <w:rFonts w:ascii="微软雅黑" w:hAnsi="微软雅黑" w:eastAsia="微软雅黑"/>
          <w:b/>
          <w:sz w:val="24"/>
        </w:rPr>
      </w:pPr>
    </w:p>
    <w:p>
      <w:pPr>
        <w:pStyle w:val="3"/>
        <w:tabs>
          <w:tab w:val="left" w:pos="540"/>
        </w:tabs>
        <w:ind w:left="720" w:hanging="720"/>
        <w:jc w:val="center"/>
        <w:rPr>
          <w:rFonts w:ascii="微软雅黑" w:hAnsi="微软雅黑" w:eastAsia="微软雅黑"/>
          <w:b w:val="0"/>
          <w:sz w:val="32"/>
          <w:lang w:val="zh-CN"/>
        </w:rPr>
      </w:pPr>
      <w:bookmarkStart w:id="0" w:name="_Toc95295163"/>
      <w:bookmarkStart w:id="1" w:name="_Toc174767233"/>
      <w:bookmarkStart w:id="2" w:name="_Toc237343703"/>
      <w:r>
        <w:rPr>
          <w:rFonts w:hint="eastAsia" w:ascii="微软雅黑" w:hAnsi="微软雅黑" w:eastAsia="微软雅黑"/>
          <w:lang w:val="zh-CN"/>
        </w:rPr>
        <w:t>法定代表人身份授权书</w:t>
      </w:r>
    </w:p>
    <w:p>
      <w:pPr>
        <w:tabs>
          <w:tab w:val="left" w:pos="6300"/>
        </w:tabs>
        <w:spacing w:line="360" w:lineRule="auto"/>
        <w:rPr>
          <w:rFonts w:ascii="微软雅黑" w:hAnsi="微软雅黑" w:eastAsia="微软雅黑"/>
          <w:sz w:val="24"/>
          <w:lang w:val="zh-CN"/>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tabs>
          <w:tab w:val="left" w:pos="720"/>
          <w:tab w:val="left" w:pos="6300"/>
        </w:tabs>
        <w:spacing w:line="360" w:lineRule="auto"/>
        <w:ind w:firstLine="573"/>
        <w:rPr>
          <w:rFonts w:ascii="微软雅黑" w:hAnsi="微软雅黑" w:eastAsia="微软雅黑"/>
          <w:sz w:val="24"/>
          <w:u w:val="single"/>
          <w:lang w:val="zh-CN"/>
        </w:rPr>
      </w:pPr>
      <w:r>
        <w:rPr>
          <w:rFonts w:hint="eastAsia" w:ascii="微软雅黑" w:hAnsi="微软雅黑" w:eastAsia="微软雅黑"/>
          <w:sz w:val="24"/>
          <w:lang w:val="zh-CN"/>
        </w:rPr>
        <w:t xml:space="preserve">   本授权声明：</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hint="eastAsia" w:ascii="微软雅黑" w:hAnsi="微软雅黑" w:eastAsia="微软雅黑"/>
          <w:sz w:val="24"/>
          <w:u w:val="single"/>
          <w:lang w:val="zh-CN"/>
        </w:rPr>
        <w:t xml:space="preserve">           </w:t>
      </w:r>
    </w:p>
    <w:p>
      <w:pPr>
        <w:tabs>
          <w:tab w:val="left" w:pos="720"/>
          <w:tab w:val="left" w:pos="6300"/>
        </w:tabs>
        <w:spacing w:line="360" w:lineRule="auto"/>
        <w:rPr>
          <w:rFonts w:ascii="微软雅黑" w:hAnsi="微软雅黑" w:eastAsia="微软雅黑"/>
          <w:sz w:val="24"/>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hint="eastAsia" w:ascii="微软雅黑" w:hAnsi="微软雅黑" w:eastAsia="微软雅黑"/>
          <w:sz w:val="24"/>
          <w:u w:val="single"/>
          <w:lang w:val="zh-CN"/>
        </w:rPr>
        <w:t xml:space="preserve"> “                                          ”</w:t>
      </w:r>
      <w:r>
        <w:rPr>
          <w:rFonts w:hint="eastAsia" w:ascii="微软雅黑" w:hAnsi="微软雅黑" w:eastAsia="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特此声明。</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法定代表人签字：</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授权代表签字：</w:t>
      </w:r>
    </w:p>
    <w:p>
      <w:pPr>
        <w:spacing w:line="360" w:lineRule="auto"/>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spacing w:line="360" w:lineRule="auto"/>
        <w:ind w:firstLine="480"/>
        <w:rPr>
          <w:rFonts w:ascii="微软雅黑" w:hAnsi="微软雅黑" w:eastAsia="微软雅黑"/>
          <w:sz w:val="24"/>
        </w:rPr>
      </w:pPr>
      <w:r>
        <w:rPr>
          <w:rFonts w:hint="eastAsia" w:ascii="微软雅黑" w:hAnsi="微软雅黑" w:eastAsia="微软雅黑"/>
          <w:sz w:val="24"/>
        </w:rPr>
        <w:t>日期：</w:t>
      </w:r>
    </w:p>
    <w:p>
      <w:pPr>
        <w:numPr>
          <w:ilvl w:val="0"/>
          <w:numId w:val="2"/>
        </w:numPr>
        <w:tabs>
          <w:tab w:val="left" w:pos="6300"/>
        </w:tabs>
        <w:spacing w:line="360" w:lineRule="auto"/>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ascii="微软雅黑" w:hAnsi="微软雅黑" w:eastAsia="微软雅黑"/>
          <w:sz w:val="24"/>
        </w:rPr>
      </w:pPr>
    </w:p>
    <w:p>
      <w:pPr>
        <w:rPr>
          <w:rFonts w:hint="eastAsia" w:ascii="微软雅黑" w:hAnsi="微软雅黑" w:eastAsia="微软雅黑"/>
          <w:sz w:val="32"/>
          <w:szCs w:val="32"/>
        </w:rPr>
      </w:pPr>
      <w:r>
        <w:rPr>
          <w:rFonts w:hint="eastAsia" w:ascii="微软雅黑" w:hAnsi="微软雅黑" w:eastAsia="微软雅黑"/>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rPr>
      </w:pPr>
      <w:r>
        <w:rPr>
          <w:rFonts w:hint="eastAsia" w:ascii="微软雅黑" w:hAnsi="微软雅黑" w:eastAsia="微软雅黑" w:cs="Times New Roman"/>
          <w:b/>
          <w:color w:val="000000"/>
          <w:sz w:val="28"/>
          <w:szCs w:val="21"/>
        </w:rPr>
        <w:t>附件4：</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ascii="微软雅黑" w:hAnsi="微软雅黑" w:eastAsia="微软雅黑"/>
          <w:sz w:val="32"/>
          <w:szCs w:val="32"/>
        </w:rPr>
      </w:pPr>
      <w:r>
        <w:rPr>
          <w:rFonts w:hint="eastAsia" w:ascii="微软雅黑" w:hAnsi="微软雅黑" w:eastAsia="微软雅黑"/>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rPr>
        <w:t>一、</w:t>
      </w:r>
      <w:r>
        <w:rPr>
          <w:rFonts w:hint="eastAsia" w:ascii="仿宋_GB2312" w:hAnsi="仿宋_GB2312" w:eastAsia="仿宋_GB2312" w:cs="仿宋_GB2312"/>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六、 采购物资名称：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val="0"/>
        <w:spacing w:line="400" w:lineRule="atLeast"/>
        <w:ind w:firstLine="56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szCs w:val="21"/>
        </w:rPr>
        <w:t xml:space="preserve">承诺企业名称（公章）                     法人代表或委托代理人（承诺人）  </w:t>
      </w:r>
    </w:p>
    <w:p>
      <w:pPr>
        <w:pStyle w:val="2"/>
        <w:rPr>
          <w:rFonts w:hint="eastAsia" w:ascii="仿宋_GB2312" w:hAnsi="仿宋_GB2312" w:eastAsia="仿宋_GB2312" w:cs="仿宋_GB231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宋体-方正超大字符集">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
    <w:nsid w:val="40B35F6E"/>
    <w:multiLevelType w:val="multilevel"/>
    <w:tmpl w:val="40B35F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CD"/>
    <w:rsid w:val="00054504"/>
    <w:rsid w:val="000A5609"/>
    <w:rsid w:val="0012281B"/>
    <w:rsid w:val="001A7747"/>
    <w:rsid w:val="001D614F"/>
    <w:rsid w:val="0028514C"/>
    <w:rsid w:val="00325AF0"/>
    <w:rsid w:val="00352894"/>
    <w:rsid w:val="003C4CA5"/>
    <w:rsid w:val="00451273"/>
    <w:rsid w:val="004A46A9"/>
    <w:rsid w:val="004C01CD"/>
    <w:rsid w:val="004E6FD8"/>
    <w:rsid w:val="00521662"/>
    <w:rsid w:val="005A56D7"/>
    <w:rsid w:val="005B2D15"/>
    <w:rsid w:val="005C2563"/>
    <w:rsid w:val="00603F07"/>
    <w:rsid w:val="00614152"/>
    <w:rsid w:val="00621FB9"/>
    <w:rsid w:val="00654A67"/>
    <w:rsid w:val="00686264"/>
    <w:rsid w:val="006C0898"/>
    <w:rsid w:val="007157F4"/>
    <w:rsid w:val="00804734"/>
    <w:rsid w:val="00862B83"/>
    <w:rsid w:val="00867C95"/>
    <w:rsid w:val="00884A63"/>
    <w:rsid w:val="008F066B"/>
    <w:rsid w:val="009807B4"/>
    <w:rsid w:val="009931F4"/>
    <w:rsid w:val="009A6A9C"/>
    <w:rsid w:val="00A21728"/>
    <w:rsid w:val="00A454BA"/>
    <w:rsid w:val="00A66BB7"/>
    <w:rsid w:val="00A754D5"/>
    <w:rsid w:val="00AC7407"/>
    <w:rsid w:val="00B30D38"/>
    <w:rsid w:val="00B66B77"/>
    <w:rsid w:val="00BA288E"/>
    <w:rsid w:val="00C875AA"/>
    <w:rsid w:val="00D72A34"/>
    <w:rsid w:val="00DF79FF"/>
    <w:rsid w:val="00E11920"/>
    <w:rsid w:val="00E12E6A"/>
    <w:rsid w:val="00E20C6A"/>
    <w:rsid w:val="00E30D51"/>
    <w:rsid w:val="00E833EA"/>
    <w:rsid w:val="00F47D12"/>
    <w:rsid w:val="08EC53DD"/>
    <w:rsid w:val="19041A64"/>
    <w:rsid w:val="19F6705B"/>
    <w:rsid w:val="1AD877E2"/>
    <w:rsid w:val="1B926522"/>
    <w:rsid w:val="1CB6762E"/>
    <w:rsid w:val="1D5910C2"/>
    <w:rsid w:val="2107261C"/>
    <w:rsid w:val="216655B5"/>
    <w:rsid w:val="23323CE8"/>
    <w:rsid w:val="2C4C55F8"/>
    <w:rsid w:val="2E6120D2"/>
    <w:rsid w:val="2F722211"/>
    <w:rsid w:val="304E16EE"/>
    <w:rsid w:val="350970E0"/>
    <w:rsid w:val="3A926BD1"/>
    <w:rsid w:val="3B6803EF"/>
    <w:rsid w:val="44DE5B53"/>
    <w:rsid w:val="4E587909"/>
    <w:rsid w:val="50503B22"/>
    <w:rsid w:val="56EC0181"/>
    <w:rsid w:val="5BCD4A00"/>
    <w:rsid w:val="66F0205A"/>
    <w:rsid w:val="71D32D05"/>
    <w:rsid w:val="722858D4"/>
    <w:rsid w:val="769A6034"/>
    <w:rsid w:val="775B2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 w:cs="Times New Roman"/>
      <w:kern w:val="2"/>
      <w:sz w:val="28"/>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style>
  <w:style w:type="paragraph" w:styleId="4">
    <w:name w:val="footer"/>
    <w:basedOn w:val="1"/>
    <w:link w:val="10"/>
    <w:unhideWhenUsed/>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8">
    <w:name w:val="Strong"/>
    <w:qFormat/>
    <w:uiPriority w:val="0"/>
    <w:rPr>
      <w:b/>
      <w:bCs/>
    </w:rPr>
  </w:style>
  <w:style w:type="character" w:customStyle="1" w:styleId="9">
    <w:name w:val="页眉 字符"/>
    <w:basedOn w:val="7"/>
    <w:link w:val="5"/>
    <w:qFormat/>
    <w:uiPriority w:val="0"/>
    <w:rPr>
      <w:rFonts w:eastAsia="仿宋"/>
      <w:sz w:val="18"/>
      <w:szCs w:val="18"/>
    </w:rPr>
  </w:style>
  <w:style w:type="character" w:customStyle="1" w:styleId="10">
    <w:name w:val="页脚 字符"/>
    <w:basedOn w:val="7"/>
    <w:link w:val="4"/>
    <w:qFormat/>
    <w:uiPriority w:val="0"/>
    <w:rPr>
      <w:rFonts w:eastAsia="仿宋"/>
      <w:sz w:val="18"/>
      <w:szCs w:val="18"/>
    </w:rPr>
  </w:style>
  <w:style w:type="paragraph" w:styleId="11">
    <w:name w:val="List Paragraph"/>
    <w:basedOn w:val="1"/>
    <w:qFormat/>
    <w:uiPriority w:val="34"/>
    <w:pPr>
      <w:ind w:firstLine="420" w:firstLineChars="200"/>
    </w:pPr>
  </w:style>
  <w:style w:type="character" w:customStyle="1" w:styleId="12">
    <w:name w:val="正文文本 字符"/>
    <w:basedOn w:val="7"/>
    <w:link w:val="2"/>
    <w:qFormat/>
    <w:uiPriority w:val="99"/>
    <w:rPr>
      <w:rFonts w:ascii="Calibri" w:hAnsi="Calibri" w:eastAsia="仿宋" w:cs="Times New Roman"/>
      <w:sz w:val="28"/>
    </w:rPr>
  </w:style>
  <w:style w:type="paragraph" w:styleId="13">
    <w:name w:val="No Spacing"/>
    <w:qFormat/>
    <w:uiPriority w:val="1"/>
    <w:pPr>
      <w:widowControl w:val="0"/>
      <w:spacing w:line="360" w:lineRule="auto"/>
      <w:jc w:val="both"/>
    </w:pPr>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669</Words>
  <Characters>3815</Characters>
  <Lines>31</Lines>
  <Paragraphs>8</Paragraphs>
  <TotalTime>3</TotalTime>
  <ScaleCrop>false</ScaleCrop>
  <LinksUpToDate>false</LinksUpToDate>
  <CharactersWithSpaces>4476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2022-03-09T10:39:00Z</dcterms:created>
  <dc:creator>test</dc:creator>
  <cp:lastModifiedBy>胡瑞</cp:lastModifiedBy>
  <dcterms:modified xsi:type="dcterms:W3CDTF">2022-03-30T03:38:51Z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CF4FE2E176D8448FB3EB34A511100FA1</vt:lpwstr>
  </property>
</Properties>
</file>