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血液浓缩器</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7873" w:type="dxa"/>
        <w:tblInd w:w="0" w:type="dxa"/>
        <w:tblLayout w:type="autofit"/>
        <w:tblCellMar>
          <w:top w:w="0" w:type="dxa"/>
          <w:left w:w="0" w:type="dxa"/>
          <w:bottom w:w="0" w:type="dxa"/>
          <w:right w:w="0" w:type="dxa"/>
        </w:tblCellMar>
      </w:tblPr>
      <w:tblGrid>
        <w:gridCol w:w="519"/>
        <w:gridCol w:w="1234"/>
        <w:gridCol w:w="6120"/>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血液浓缩器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用途：用于心脏外科手术血液浓缩，以恢复患者正常血球压积。</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1.规格型号;提供多种规格型号，满足婴幼儿及大体重儿童；</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*2.材质：采用聚砜膜材料；</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3.具有良好滤过率和生物相容性；</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4.预充量：≤65ml；</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5.进出血口：采用阳性螺口；</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6.超滤液出口：1/4" -3/16"接口；</w:t>
            </w:r>
          </w:p>
          <w:p>
            <w:pPr>
              <w:autoSpaceDE w:val="0"/>
              <w:autoSpaceDN w:val="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7.包装要求及产品有效期：无菌包装，有效期≥2年；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pPr>
      <w:r>
        <w:rPr>
          <w:rFonts w:hint="eastAsia" w:ascii="仿宋_GB2312" w:hAnsi="Segoe UI" w:eastAsia="仿宋_GB2312" w:cs="Segoe UI"/>
          <w:color w:val="333333"/>
          <w:spacing w:val="8"/>
          <w:kern w:val="0"/>
          <w:sz w:val="24"/>
          <w:szCs w:val="24"/>
          <w:lang w:val="en-US" w:eastAsia="zh-CN"/>
        </w:rPr>
        <w:t>3.1</w:t>
      </w: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r>
        <w:rPr>
          <w:rFonts w:hint="eastAsia"/>
        </w:rPr>
        <w:t xml:space="preserve"> </w:t>
      </w:r>
      <w:bookmarkStart w:id="1" w:name="_GoBack"/>
      <w:bookmarkEnd w:id="1"/>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3.2 项目预算4.5万元/年。</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40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40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40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w:t>
            </w:r>
            <w:r>
              <w:rPr>
                <w:rFonts w:hint="eastAsia" w:ascii="宋体" w:hAnsi="宋体" w:eastAsia="宋体" w:cs="宋体"/>
                <w:kern w:val="0"/>
                <w:sz w:val="18"/>
                <w:szCs w:val="18"/>
              </w:rPr>
              <w:t>同品类</w:t>
            </w:r>
            <w:r>
              <w:rPr>
                <w:rFonts w:hint="eastAsia" w:ascii="宋体" w:hAnsi="宋体" w:eastAsia="宋体" w:cs="宋体"/>
                <w:kern w:val="0"/>
                <w:sz w:val="18"/>
                <w:szCs w:val="18"/>
                <w:lang w:val="en-US" w:eastAsia="zh-CN"/>
              </w:rPr>
              <w:t>全规格</w:t>
            </w:r>
            <w:r>
              <w:rPr>
                <w:rFonts w:hint="eastAsia" w:ascii="宋体" w:hAnsi="宋体" w:eastAsia="宋体" w:cs="宋体"/>
                <w:kern w:val="0"/>
                <w:sz w:val="18"/>
                <w:szCs w:val="18"/>
              </w:rPr>
              <w:t>平均价</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32</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32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32</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非“*”条款技术参数不满足招标文件要求（负偏离），一次扣4分，“*”条款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tblCellMar>
            <w:top w:w="0" w:type="dxa"/>
            <w:left w:w="0" w:type="dxa"/>
            <w:bottom w:w="0" w:type="dxa"/>
            <w:right w:w="0" w:type="dxa"/>
          </w:tblCellMar>
        </w:tblPrEx>
        <w:trPr>
          <w:trHeight w:val="1878" w:hRule="atLeast"/>
        </w:trPr>
        <w:tc>
          <w:tcPr>
            <w:tcW w:w="709" w:type="dxa"/>
            <w:vMerge w:val="restart"/>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14</w:t>
            </w:r>
            <w:r>
              <w:rPr>
                <w:rFonts w:hint="eastAsia" w:ascii="宋体" w:hAnsi="宋体" w:cs="Segoe UI"/>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p>
        </w:tc>
        <w:tc>
          <w:tcPr>
            <w:tcW w:w="1276" w:type="dxa"/>
            <w:vMerge w:val="continue"/>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1066" w:hRule="atLeast"/>
        </w:trPr>
        <w:tc>
          <w:tcPr>
            <w:tcW w:w="709" w:type="dxa"/>
            <w:vMerge w:val="restart"/>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pPr>
            <w:r>
              <w:rPr>
                <w:rFonts w:hint="eastAsia" w:ascii="宋体" w:hAnsi="宋体" w:eastAsia="宋体" w:cs="宋体"/>
                <w:color w:val="000000"/>
                <w:kern w:val="0"/>
                <w:sz w:val="18"/>
                <w:szCs w:val="18"/>
                <w:lang w:val="en-US" w:eastAsia="zh-CN"/>
              </w:rPr>
              <w:t>14</w:t>
            </w:r>
            <w:r>
              <w:rPr>
                <w:rFonts w:hint="eastAsia" w:ascii="宋体" w:hAnsi="宋体" w:eastAsia="宋体" w:cs="宋体"/>
                <w:color w:val="000000"/>
                <w:kern w:val="0"/>
                <w:sz w:val="18"/>
                <w:szCs w:val="18"/>
              </w:rPr>
              <w:t>%</w:t>
            </w: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color w:val="000000"/>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114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eastAsiaTheme="minorEastAsia"/>
                <w:color w:val="333333"/>
                <w:kern w:val="0"/>
                <w:szCs w:val="21"/>
                <w:lang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eastAsia="宋体" w:cs="Segoe UI"/>
                <w:color w:val="000000"/>
                <w:kern w:val="0"/>
                <w:sz w:val="18"/>
                <w:szCs w:val="18"/>
                <w:lang w:val="en-US" w:eastAsia="zh-CN"/>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4</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9060"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9060" w:type="dxa"/>
            <w:gridSpan w:val="10"/>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r>
              <w:rPr>
                <w:rFonts w:hint="eastAsia" w:ascii="Segoe UI" w:hAnsi="Segoe UI" w:eastAsia="宋体" w:cs="Segoe UI"/>
                <w:color w:val="333333"/>
                <w:kern w:val="0"/>
                <w:sz w:val="18"/>
                <w:szCs w:val="18"/>
              </w:rPr>
              <w:t>投标总价（各项材料报价</w:t>
            </w:r>
            <w:r>
              <w:rPr>
                <w:rFonts w:hint="eastAsia" w:ascii="Segoe UI" w:hAnsi="Segoe UI" w:eastAsia="宋体" w:cs="Segoe UI"/>
                <w:color w:val="333333"/>
                <w:kern w:val="0"/>
                <w:sz w:val="18"/>
                <w:szCs w:val="18"/>
                <w:lang w:val="en-US" w:eastAsia="zh-CN"/>
              </w:rPr>
              <w:t>均价</w:t>
            </w:r>
            <w:r>
              <w:rPr>
                <w:rFonts w:hint="eastAsia" w:ascii="Segoe UI" w:hAnsi="Segoe UI" w:eastAsia="宋体" w:cs="Segoe UI"/>
                <w:color w:val="333333"/>
                <w:kern w:val="0"/>
                <w:sz w:val="18"/>
                <w:szCs w:val="18"/>
              </w:rPr>
              <w:t>）：______________元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3F6CC1"/>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0</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2022-04-26T01:46:38Z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