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1.产品名称：心脏血管介入治疗相关耗材</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2.数量：详见产品预计年采购数量;</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3.用途：临床使用;</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4.</w:t>
      </w:r>
      <w:r>
        <w:rPr>
          <w:rFonts w:hint="eastAsia" w:ascii="仿宋" w:hAnsi="仿宋" w:eastAsia="仿宋" w:cs="Segoe UI"/>
          <w:color w:val="000000" w:themeColor="text1"/>
          <w:spacing w:val="8"/>
          <w:kern w:val="0"/>
          <w:sz w:val="24"/>
          <w:szCs w:val="24"/>
          <w:lang w:val="en-US" w:eastAsia="zh-CN"/>
        </w:rPr>
        <w:t>项目预算及</w:t>
      </w:r>
      <w:r>
        <w:rPr>
          <w:rFonts w:hint="eastAsia" w:ascii="仿宋" w:hAnsi="仿宋" w:eastAsia="仿宋" w:cs="Segoe UI"/>
          <w:color w:val="000000" w:themeColor="text1"/>
          <w:spacing w:val="8"/>
          <w:kern w:val="0"/>
          <w:sz w:val="24"/>
          <w:szCs w:val="24"/>
        </w:rPr>
        <w:t>技术参数要求：</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4.1  01包：</w:t>
      </w:r>
      <w:r>
        <w:rPr>
          <w:rFonts w:hint="eastAsia" w:ascii="仿宋" w:hAnsi="仿宋" w:eastAsia="仿宋" w:cs="Segoe UI"/>
          <w:color w:val="000000" w:themeColor="text1"/>
          <w:spacing w:val="8"/>
          <w:kern w:val="0"/>
          <w:sz w:val="24"/>
          <w:szCs w:val="24"/>
        </w:rPr>
        <w:t>心脏血管介入治疗相关耗材第一批</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4.1.1项目</w:t>
      </w:r>
      <w:r>
        <w:rPr>
          <w:rFonts w:hint="eastAsia" w:ascii="仿宋" w:hAnsi="仿宋" w:eastAsia="仿宋" w:cs="Segoe UI"/>
          <w:color w:val="000000" w:themeColor="text1"/>
          <w:spacing w:val="8"/>
          <w:kern w:val="0"/>
          <w:sz w:val="24"/>
          <w:szCs w:val="24"/>
        </w:rPr>
        <w:t>预算：2.5万元/年</w:t>
      </w:r>
    </w:p>
    <w:p>
      <w:pPr>
        <w:widowControl/>
        <w:shd w:val="clear" w:color="auto" w:fill="FFFFFF"/>
        <w:wordWrap w:val="0"/>
        <w:spacing w:line="500" w:lineRule="exact"/>
        <w:jc w:val="left"/>
        <w:rPr>
          <w:rFonts w:hint="default" w:ascii="仿宋" w:hAnsi="仿宋" w:eastAsia="仿宋" w:cs="Segoe UI"/>
          <w:color w:val="000000" w:themeColor="text1"/>
          <w:spacing w:val="8"/>
          <w:kern w:val="0"/>
          <w:sz w:val="24"/>
          <w:szCs w:val="24"/>
          <w:lang w:val="en-US" w:eastAsia="zh-CN"/>
        </w:rPr>
      </w:pPr>
      <w:r>
        <w:rPr>
          <w:rFonts w:hint="eastAsia" w:ascii="仿宋" w:hAnsi="仿宋" w:eastAsia="仿宋" w:cs="Segoe UI"/>
          <w:color w:val="000000" w:themeColor="text1"/>
          <w:spacing w:val="8"/>
          <w:kern w:val="0"/>
          <w:sz w:val="24"/>
          <w:szCs w:val="24"/>
          <w:lang w:val="en-US" w:eastAsia="zh-CN"/>
        </w:rPr>
        <w:t>4.1.2</w:t>
      </w:r>
      <w:r>
        <w:rPr>
          <w:rFonts w:hint="eastAsia" w:ascii="仿宋" w:hAnsi="仿宋" w:eastAsia="仿宋" w:cs="Segoe UI"/>
          <w:color w:val="000000" w:themeColor="text1"/>
          <w:spacing w:val="8"/>
          <w:kern w:val="0"/>
          <w:sz w:val="24"/>
          <w:szCs w:val="24"/>
        </w:rPr>
        <w:t>技术参数要求：</w:t>
      </w:r>
    </w:p>
    <w:tbl>
      <w:tblPr>
        <w:tblStyle w:val="8"/>
        <w:tblW w:w="9725" w:type="dxa"/>
        <w:tblInd w:w="0" w:type="dxa"/>
        <w:tblLayout w:type="fixed"/>
        <w:tblCellMar>
          <w:top w:w="0" w:type="dxa"/>
          <w:left w:w="0" w:type="dxa"/>
          <w:bottom w:w="0" w:type="dxa"/>
          <w:right w:w="0" w:type="dxa"/>
        </w:tblCellMar>
      </w:tblPr>
      <w:tblGrid>
        <w:gridCol w:w="715"/>
        <w:gridCol w:w="1109"/>
        <w:gridCol w:w="1294"/>
        <w:gridCol w:w="6607"/>
      </w:tblGrid>
      <w:tr>
        <w:tblPrEx>
          <w:tblCellMar>
            <w:top w:w="0" w:type="dxa"/>
            <w:left w:w="0" w:type="dxa"/>
            <w:bottom w:w="0" w:type="dxa"/>
            <w:right w:w="0" w:type="dxa"/>
          </w:tblCellMar>
        </w:tblPrEx>
        <w:trPr>
          <w:trHeight w:val="466"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序号</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ascii="仿宋" w:hAnsi="仿宋" w:eastAsia="仿宋" w:cs="Segoe UI"/>
                <w:b/>
                <w:color w:val="000000" w:themeColor="text1"/>
                <w:spacing w:val="8"/>
                <w:kern w:val="0"/>
                <w:sz w:val="24"/>
                <w:szCs w:val="24"/>
              </w:rPr>
              <w:t>产品名称</w:t>
            </w:r>
          </w:p>
        </w:tc>
        <w:tc>
          <w:tcPr>
            <w:tcW w:w="1294"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预估年采购数量</w:t>
            </w:r>
          </w:p>
        </w:tc>
        <w:tc>
          <w:tcPr>
            <w:tcW w:w="6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ascii="仿宋" w:hAnsi="仿宋" w:eastAsia="仿宋" w:cs="Segoe UI"/>
                <w:b/>
                <w:color w:val="000000" w:themeColor="text1"/>
                <w:spacing w:val="8"/>
                <w:kern w:val="0"/>
                <w:sz w:val="24"/>
                <w:szCs w:val="24"/>
              </w:rPr>
              <w:t>技术参数</w:t>
            </w:r>
          </w:p>
        </w:tc>
      </w:tr>
      <w:tr>
        <w:tblPrEx>
          <w:tblCellMar>
            <w:top w:w="0" w:type="dxa"/>
            <w:left w:w="0" w:type="dxa"/>
            <w:bottom w:w="0" w:type="dxa"/>
            <w:right w:w="0" w:type="dxa"/>
          </w:tblCellMar>
        </w:tblPrEx>
        <w:trPr>
          <w:trHeight w:val="66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造影导管</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100</w:t>
            </w:r>
          </w:p>
        </w:tc>
        <w:tc>
          <w:tcPr>
            <w:tcW w:w="6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*1.用于对血管系统的选定部位输送不透X射线的造影剂。</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2.由头端顶端、远端头端、中间头端、管体、应力释和座等结构组成。</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*3.产品涂覆Vestamid65D涂层。</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4.无菌，一次性使用。</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5.产品有效期≥3年。</w:t>
            </w:r>
          </w:p>
        </w:tc>
      </w:tr>
    </w:tbl>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bookmarkStart w:id="1" w:name="_GoBack"/>
      <w:bookmarkEnd w:id="1"/>
      <w:r>
        <w:rPr>
          <w:rFonts w:hint="eastAsia" w:ascii="仿宋" w:hAnsi="仿宋" w:eastAsia="仿宋" w:cs="Segoe UI"/>
          <w:color w:val="000000" w:themeColor="text1"/>
          <w:spacing w:val="8"/>
          <w:kern w:val="0"/>
          <w:sz w:val="24"/>
          <w:szCs w:val="24"/>
          <w:lang w:val="en-US" w:eastAsia="zh-CN"/>
        </w:rPr>
        <w:t xml:space="preserve">4.2 </w:t>
      </w:r>
      <w:r>
        <w:rPr>
          <w:rFonts w:hint="eastAsia" w:ascii="仿宋_GB2312" w:hAnsi="Segoe UI" w:eastAsia="仿宋_GB2312" w:cs="Segoe UI"/>
          <w:color w:val="FF0000"/>
          <w:spacing w:val="8"/>
          <w:kern w:val="0"/>
          <w:sz w:val="24"/>
          <w:szCs w:val="24"/>
          <w:lang w:val="en-US" w:eastAsia="zh-CN"/>
        </w:rPr>
        <w:t xml:space="preserve"> </w:t>
      </w:r>
      <w:r>
        <w:rPr>
          <w:rFonts w:hint="eastAsia" w:ascii="仿宋" w:hAnsi="仿宋" w:eastAsia="仿宋" w:cs="Segoe UI"/>
          <w:color w:val="000000" w:themeColor="text1"/>
          <w:spacing w:val="8"/>
          <w:kern w:val="0"/>
          <w:sz w:val="24"/>
          <w:szCs w:val="24"/>
        </w:rPr>
        <w:t>02包：心脏血管介入治疗相关耗材第二批</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4.2.1</w:t>
      </w:r>
      <w:r>
        <w:rPr>
          <w:rFonts w:hint="eastAsia" w:ascii="仿宋" w:hAnsi="仿宋" w:eastAsia="仿宋" w:cs="Segoe UI"/>
          <w:color w:val="000000" w:themeColor="text1"/>
          <w:spacing w:val="8"/>
          <w:kern w:val="0"/>
          <w:sz w:val="24"/>
          <w:szCs w:val="24"/>
        </w:rPr>
        <w:t>项目预算：3.5万元/年</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lang w:val="en-US" w:eastAsia="zh-CN"/>
        </w:rPr>
        <w:t>4.2.2</w:t>
      </w:r>
      <w:r>
        <w:rPr>
          <w:rFonts w:hint="eastAsia" w:ascii="仿宋" w:hAnsi="仿宋" w:eastAsia="仿宋" w:cs="Segoe UI"/>
          <w:color w:val="000000" w:themeColor="text1"/>
          <w:spacing w:val="8"/>
          <w:kern w:val="0"/>
          <w:sz w:val="24"/>
          <w:szCs w:val="24"/>
        </w:rPr>
        <w:t>技术参数要求：</w:t>
      </w:r>
    </w:p>
    <w:tbl>
      <w:tblPr>
        <w:tblStyle w:val="8"/>
        <w:tblW w:w="9713" w:type="dxa"/>
        <w:tblInd w:w="0" w:type="dxa"/>
        <w:tblLayout w:type="fixed"/>
        <w:tblCellMar>
          <w:top w:w="0" w:type="dxa"/>
          <w:left w:w="0" w:type="dxa"/>
          <w:bottom w:w="0" w:type="dxa"/>
          <w:right w:w="0" w:type="dxa"/>
        </w:tblCellMar>
      </w:tblPr>
      <w:tblGrid>
        <w:gridCol w:w="715"/>
        <w:gridCol w:w="1269"/>
        <w:gridCol w:w="1276"/>
        <w:gridCol w:w="6453"/>
      </w:tblGrid>
      <w:tr>
        <w:tblPrEx>
          <w:tblCellMar>
            <w:top w:w="0" w:type="dxa"/>
            <w:left w:w="0" w:type="dxa"/>
            <w:bottom w:w="0" w:type="dxa"/>
            <w:right w:w="0" w:type="dxa"/>
          </w:tblCellMar>
        </w:tblPrEx>
        <w:trPr>
          <w:trHeight w:val="466"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ascii="仿宋" w:hAnsi="仿宋" w:eastAsia="仿宋" w:cs="Segoe UI"/>
                <w:b/>
                <w:color w:val="000000" w:themeColor="text1"/>
                <w:spacing w:val="8"/>
                <w:kern w:val="0"/>
                <w:sz w:val="24"/>
                <w:szCs w:val="24"/>
              </w:rPr>
              <w:t>产品名称</w:t>
            </w: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仿宋" w:hAnsi="仿宋" w:eastAsia="仿宋" w:cs="Segoe UI"/>
                <w:b/>
                <w:color w:val="000000" w:themeColor="text1"/>
                <w:spacing w:val="8"/>
                <w:kern w:val="0"/>
                <w:sz w:val="24"/>
                <w:szCs w:val="24"/>
              </w:rPr>
            </w:pPr>
            <w:r>
              <w:rPr>
                <w:rFonts w:hint="eastAsia" w:ascii="仿宋" w:hAnsi="仿宋" w:eastAsia="仿宋" w:cs="Segoe UI"/>
                <w:b/>
                <w:color w:val="000000" w:themeColor="text1"/>
                <w:spacing w:val="8"/>
                <w:kern w:val="0"/>
                <w:sz w:val="24"/>
                <w:szCs w:val="24"/>
              </w:rPr>
              <w:t>预估年采购数量</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cs="Segoe UI"/>
                <w:b/>
                <w:color w:val="000000" w:themeColor="text1"/>
                <w:spacing w:val="8"/>
                <w:kern w:val="0"/>
                <w:sz w:val="24"/>
                <w:szCs w:val="24"/>
              </w:rPr>
            </w:pPr>
            <w:r>
              <w:rPr>
                <w:rFonts w:ascii="仿宋" w:hAnsi="仿宋" w:eastAsia="仿宋" w:cs="Segoe UI"/>
                <w:b/>
                <w:color w:val="000000" w:themeColor="text1"/>
                <w:spacing w:val="8"/>
                <w:kern w:val="0"/>
                <w:sz w:val="24"/>
                <w:szCs w:val="24"/>
              </w:rPr>
              <w:t>技术参数</w:t>
            </w:r>
          </w:p>
        </w:tc>
      </w:tr>
      <w:tr>
        <w:tblPrEx>
          <w:tblCellMar>
            <w:top w:w="0" w:type="dxa"/>
            <w:left w:w="0" w:type="dxa"/>
            <w:bottom w:w="0" w:type="dxa"/>
            <w:right w:w="0" w:type="dxa"/>
          </w:tblCellMar>
        </w:tblPrEx>
        <w:trPr>
          <w:trHeight w:val="66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导丝</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110</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*1.用于引导导管插入心血管并定位。</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*2.由芯丝、包覆层、亲水涂层组成。芯丝由镍钛合金制成，包裹层由Pebax3533SA01MED、聚氨酯和钨制成。导丝涂覆聚乙烯吡咯烷酮亲水涂层。</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3.无菌，一次性使用。</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4.产品有效期≥2年。</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*5.导丝长度</w:t>
            </w:r>
            <w:r>
              <w:rPr>
                <w:rFonts w:hint="eastAsia" w:ascii="仿宋" w:hAnsi="仿宋" w:eastAsia="仿宋" w:cs="Segoe UI"/>
                <w:color w:val="000000" w:themeColor="text1"/>
                <w:spacing w:val="8"/>
                <w:kern w:val="0"/>
                <w:sz w:val="24"/>
                <w:szCs w:val="24"/>
                <w:lang w:val="en-US" w:eastAsia="zh-CN"/>
              </w:rPr>
              <w:t>有</w:t>
            </w:r>
            <w:r>
              <w:rPr>
                <w:rFonts w:hint="eastAsia" w:ascii="仿宋" w:hAnsi="仿宋" w:eastAsia="仿宋" w:cs="Segoe UI"/>
                <w:color w:val="000000" w:themeColor="text1"/>
                <w:spacing w:val="8"/>
                <w:kern w:val="0"/>
                <w:sz w:val="24"/>
                <w:szCs w:val="24"/>
              </w:rPr>
              <w:t>150cm、260cm可供医院选择。</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6.有直头、弯头等型号可供医院选择。</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*7.有多种硬度可供医院选择。</w:t>
            </w:r>
          </w:p>
        </w:tc>
      </w:tr>
      <w:tr>
        <w:tblPrEx>
          <w:tblCellMar>
            <w:top w:w="0" w:type="dxa"/>
            <w:left w:w="0" w:type="dxa"/>
            <w:bottom w:w="0" w:type="dxa"/>
            <w:right w:w="0" w:type="dxa"/>
          </w:tblCellMar>
        </w:tblPrEx>
        <w:trPr>
          <w:trHeight w:val="667" w:hRule="atLeast"/>
        </w:trPr>
        <w:tc>
          <w:tcPr>
            <w:tcW w:w="7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三联三通</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10</w:t>
            </w:r>
          </w:p>
        </w:tc>
        <w:tc>
          <w:tcPr>
            <w:tcW w:w="64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*1.用于介入手术中器械间的连接及流路控制。</w:t>
            </w:r>
          </w:p>
          <w:p>
            <w:pPr>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2.由锁定接头、主题阀座、保护帽和手柄阀组成。</w:t>
            </w:r>
          </w:p>
          <w:p>
            <w:pPr>
              <w:jc w:val="left"/>
              <w:rPr>
                <w:rFonts w:ascii="仿宋" w:hAnsi="仿宋" w:eastAsia="仿宋" w:cs="Segoe UI"/>
                <w:color w:val="FF0000"/>
                <w:spacing w:val="8"/>
                <w:kern w:val="0"/>
                <w:sz w:val="24"/>
                <w:szCs w:val="24"/>
              </w:rPr>
            </w:pPr>
            <w:r>
              <w:rPr>
                <w:rFonts w:hint="eastAsia" w:ascii="仿宋" w:hAnsi="仿宋" w:eastAsia="仿宋" w:cs="Segoe UI"/>
                <w:color w:val="000000" w:themeColor="text1"/>
                <w:spacing w:val="8"/>
                <w:kern w:val="0"/>
                <w:sz w:val="24"/>
                <w:szCs w:val="24"/>
              </w:rPr>
              <w:t>3.无菌，一次性使用。</w:t>
            </w:r>
          </w:p>
        </w:tc>
      </w:tr>
    </w:tbl>
    <w:p>
      <w:pPr>
        <w:widowControl/>
        <w:jc w:val="left"/>
        <w:rPr>
          <w:rFonts w:hint="default" w:ascii="仿宋_GB2312" w:hAnsi="Segoe UI" w:eastAsia="仿宋_GB2312" w:cs="Segoe UI"/>
          <w:color w:val="FF0000"/>
          <w:spacing w:val="8"/>
          <w:kern w:val="0"/>
          <w:sz w:val="24"/>
          <w:szCs w:val="24"/>
          <w:lang w:val="en-US" w:eastAsia="zh-CN"/>
        </w:rPr>
      </w:pPr>
    </w:p>
    <w:p>
      <w:pPr>
        <w:widowControl/>
        <w:shd w:val="clear" w:color="auto" w:fill="FFFFFF"/>
        <w:spacing w:line="360" w:lineRule="auto"/>
        <w:jc w:val="left"/>
        <w:rPr>
          <w:rFonts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rPr>
        <w:t>5.商务要求：</w:t>
      </w:r>
    </w:p>
    <w:p>
      <w:pPr>
        <w:widowControl/>
        <w:shd w:val="clear" w:color="auto" w:fill="FFFFFF"/>
        <w:spacing w:line="360" w:lineRule="auto"/>
        <w:jc w:val="left"/>
        <w:rPr>
          <w:rFonts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32"/>
          <w:szCs w:val="32"/>
        </w:rPr>
        <w:t>▲</w:t>
      </w:r>
      <w:r>
        <w:rPr>
          <w:rFonts w:hint="eastAsia" w:ascii="仿宋_GB2312" w:hAnsi="Segoe UI" w:eastAsia="仿宋_GB2312" w:cs="Segoe UI"/>
          <w:color w:val="auto"/>
          <w:spacing w:val="8"/>
          <w:kern w:val="0"/>
          <w:sz w:val="24"/>
          <w:szCs w:val="24"/>
        </w:rPr>
        <w:t>5.1 投标产品挂网要求</w:t>
      </w:r>
    </w:p>
    <w:p>
      <w:pPr>
        <w:widowControl/>
        <w:shd w:val="clear" w:color="auto" w:fill="FFFFFF"/>
        <w:spacing w:line="360" w:lineRule="auto"/>
        <w:jc w:val="left"/>
        <w:rPr>
          <w:rFonts w:ascii="仿宋_GB2312" w:hAnsi="Segoe UI" w:eastAsia="仿宋_GB2312" w:cs="Segoe UI"/>
          <w:b/>
          <w:color w:val="auto"/>
          <w:spacing w:val="8"/>
          <w:kern w:val="0"/>
          <w:sz w:val="24"/>
          <w:szCs w:val="24"/>
        </w:rPr>
      </w:pPr>
      <w:r>
        <w:rPr>
          <w:rFonts w:hint="eastAsia" w:ascii="仿宋_GB2312" w:hAnsi="Segoe UI" w:eastAsia="仿宋_GB2312" w:cs="Segoe UI"/>
          <w:b/>
          <w:color w:val="auto"/>
          <w:spacing w:val="8"/>
          <w:kern w:val="0"/>
          <w:sz w:val="24"/>
          <w:szCs w:val="24"/>
        </w:rPr>
        <w:t>投标产品属于国家医疗保障局发布的《医保医用耗材分类与代码》目录且具有医疗器械注册证的全部医用耗材（不含一类医疗器械）的，必须为四川省药械集中采购及医药价格监管平台挂网产品，提供产品挂网商品代码。</w:t>
      </w:r>
    </w:p>
    <w:p>
      <w:pPr>
        <w:widowControl/>
        <w:shd w:val="clear" w:color="auto" w:fill="FFFFFF"/>
        <w:spacing w:line="360" w:lineRule="auto"/>
        <w:jc w:val="left"/>
        <w:rPr>
          <w:rFonts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32"/>
          <w:szCs w:val="32"/>
        </w:rPr>
        <w:t>▲</w:t>
      </w:r>
      <w:r>
        <w:rPr>
          <w:rFonts w:hint="eastAsia" w:ascii="仿宋_GB2312" w:hAnsi="Segoe UI" w:eastAsia="仿宋_GB2312" w:cs="Segoe UI"/>
          <w:color w:val="auto"/>
          <w:spacing w:val="8"/>
          <w:kern w:val="0"/>
          <w:sz w:val="24"/>
          <w:szCs w:val="24"/>
        </w:rPr>
        <w:t>5.2投标供应商应具备以上材料的供货资质，资质不全或缺少报价则视为不响应。</w:t>
      </w:r>
    </w:p>
    <w:p>
      <w:pPr>
        <w:widowControl/>
        <w:shd w:val="clear" w:color="auto" w:fill="FFFFFF"/>
        <w:spacing w:line="360" w:lineRule="auto"/>
        <w:jc w:val="left"/>
        <w:rPr>
          <w:rFonts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rPr>
        <w:t>5.</w:t>
      </w:r>
      <w:r>
        <w:rPr>
          <w:rFonts w:hint="eastAsia" w:ascii="仿宋_GB2312" w:hAnsi="Segoe UI" w:eastAsia="仿宋_GB2312" w:cs="Segoe UI"/>
          <w:color w:val="auto"/>
          <w:spacing w:val="8"/>
          <w:kern w:val="0"/>
          <w:sz w:val="24"/>
          <w:szCs w:val="24"/>
          <w:lang w:val="en-US" w:eastAsia="zh-CN"/>
        </w:rPr>
        <w:t>3</w:t>
      </w:r>
      <w:r>
        <w:rPr>
          <w:rFonts w:hint="eastAsia" w:ascii="仿宋_GB2312" w:hAnsi="Segoe UI" w:eastAsia="仿宋_GB2312" w:cs="Segoe UI"/>
          <w:color w:val="auto"/>
          <w:spacing w:val="8"/>
          <w:kern w:val="0"/>
          <w:sz w:val="24"/>
          <w:szCs w:val="24"/>
        </w:rPr>
        <w:t xml:space="preserve"> 产品报价严格按照附件3格式填写，并根据各材料预计年采购量（评分细则）计算报价总价。</w:t>
      </w:r>
    </w:p>
    <w:p>
      <w:pPr>
        <w:widowControl/>
        <w:shd w:val="clear" w:color="auto" w:fill="FFFFFF"/>
        <w:spacing w:line="360" w:lineRule="auto"/>
        <w:jc w:val="left"/>
        <w:rPr>
          <w:rFonts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rPr>
        <w:t>5.</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 xml:space="preserve"> 若同种产品有多种规格型号涉及不同价格，则供应商分项报价。</w:t>
      </w:r>
    </w:p>
    <w:p>
      <w:pPr>
        <w:widowControl/>
        <w:shd w:val="clear" w:color="auto" w:fill="FFFFFF"/>
        <w:spacing w:line="360" w:lineRule="auto"/>
        <w:jc w:val="left"/>
        <w:rPr>
          <w:color w:val="auto"/>
        </w:rPr>
      </w:pPr>
      <w:r>
        <w:rPr>
          <w:rFonts w:hint="eastAsia" w:ascii="仿宋_GB2312" w:hAnsi="Segoe UI" w:eastAsia="仿宋_GB2312" w:cs="Segoe UI"/>
          <w:color w:val="auto"/>
          <w:spacing w:val="8"/>
          <w:kern w:val="0"/>
          <w:sz w:val="24"/>
          <w:szCs w:val="24"/>
        </w:rPr>
        <w:t>备注:</w:t>
      </w:r>
      <w:r>
        <w:rPr>
          <w:rFonts w:hint="eastAsia"/>
          <w:color w:val="auto"/>
        </w:rPr>
        <w:t xml:space="preserve"> </w:t>
      </w:r>
    </w:p>
    <w:p>
      <w:pPr>
        <w:widowControl/>
        <w:shd w:val="clear" w:color="auto" w:fill="FFFFFF"/>
        <w:spacing w:line="360" w:lineRule="auto"/>
        <w:jc w:val="left"/>
        <w:rPr>
          <w:rFonts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rPr>
        <w:t>1.以上打▲号的条款为本次招标项目的实质性要求，不允许有负偏离。</w:t>
      </w:r>
    </w:p>
    <w:p>
      <w:pPr>
        <w:widowControl/>
        <w:spacing w:line="360" w:lineRule="auto"/>
        <w:jc w:val="left"/>
        <w:rPr>
          <w:rFonts w:ascii="宋体" w:hAnsi="宋体" w:eastAsia="宋体" w:cs="Segoe UI"/>
          <w:b/>
          <w:bCs/>
          <w:color w:val="auto"/>
          <w:kern w:val="0"/>
          <w:sz w:val="28"/>
          <w:szCs w:val="28"/>
        </w:rPr>
      </w:pPr>
    </w:p>
    <w:p>
      <w:pPr>
        <w:widowControl/>
        <w:spacing w:line="360" w:lineRule="auto"/>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：评审办法（综合评分明细表）</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01包：心脏血管介入治疗相关耗材第一批</w:t>
      </w:r>
    </w:p>
    <w:tbl>
      <w:tblPr>
        <w:tblStyle w:val="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09"/>
        <w:gridCol w:w="638"/>
        <w:gridCol w:w="4181"/>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asciiTheme="minorEastAsia" w:hAnsiTheme="minorEastAsia"/>
                <w:szCs w:val="21"/>
              </w:rPr>
            </w:pPr>
            <w:r>
              <w:rPr>
                <w:rFonts w:hint="eastAsia" w:asciiTheme="minorEastAsia" w:hAnsiTheme="minorEastAsia"/>
              </w:rPr>
              <w:t>序号</w:t>
            </w:r>
          </w:p>
        </w:tc>
        <w:tc>
          <w:tcPr>
            <w:tcW w:w="709" w:type="dxa"/>
            <w:tcBorders>
              <w:top w:val="single" w:color="auto" w:sz="4" w:space="0"/>
              <w:left w:val="nil"/>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评分因素</w:t>
            </w:r>
          </w:p>
        </w:tc>
        <w:tc>
          <w:tcPr>
            <w:tcW w:w="638" w:type="dxa"/>
            <w:tcBorders>
              <w:top w:val="single" w:color="auto" w:sz="4" w:space="0"/>
              <w:left w:val="nil"/>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分值</w:t>
            </w:r>
          </w:p>
        </w:tc>
        <w:tc>
          <w:tcPr>
            <w:tcW w:w="4181" w:type="dxa"/>
            <w:tcBorders>
              <w:top w:val="single" w:color="auto" w:sz="4" w:space="0"/>
              <w:left w:val="nil"/>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评分标准</w:t>
            </w:r>
          </w:p>
        </w:tc>
        <w:tc>
          <w:tcPr>
            <w:tcW w:w="3247" w:type="dxa"/>
            <w:tcBorders>
              <w:top w:val="single" w:color="auto" w:sz="4" w:space="0"/>
              <w:left w:val="nil"/>
              <w:bottom w:val="single" w:color="auto" w:sz="4" w:space="0"/>
              <w:right w:val="single" w:color="auto" w:sz="4" w:space="0"/>
            </w:tcBorders>
            <w:vAlign w:val="center"/>
          </w:tcPr>
          <w:p>
            <w:pPr>
              <w:spacing w:line="276" w:lineRule="auto"/>
              <w:jc w:val="center"/>
              <w:rPr>
                <w:rFonts w:asciiTheme="minorEastAsia" w:hAnsiTheme="minorEastAsia"/>
              </w:rPr>
            </w:pPr>
            <w:r>
              <w:rPr>
                <w:rFonts w:hint="eastAsia" w:asciiTheme="minorEastAsia" w:hAnsi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1</w:t>
            </w:r>
          </w:p>
        </w:tc>
        <w:tc>
          <w:tcPr>
            <w:tcW w:w="70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rPr>
            </w:pPr>
            <w:r>
              <w:rPr>
                <w:rFonts w:hint="eastAsia" w:asciiTheme="minorEastAsia" w:hAnsiTheme="minorEastAsia"/>
              </w:rPr>
              <w:t>报价</w:t>
            </w:r>
          </w:p>
        </w:tc>
        <w:tc>
          <w:tcPr>
            <w:tcW w:w="638"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rPr>
            </w:pPr>
            <w:r>
              <w:rPr>
                <w:rFonts w:hint="eastAsia" w:asciiTheme="minorEastAsia" w:hAnsiTheme="minorEastAsia"/>
              </w:rPr>
              <w:t>30</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b/>
                <w:color w:val="000000" w:themeColor="text1"/>
                <w:kern w:val="0"/>
                <w:szCs w:val="21"/>
              </w:rPr>
            </w:pPr>
            <w:r>
              <w:rPr>
                <w:rFonts w:hint="eastAsia" w:cs="Segoe UI" w:asciiTheme="minorEastAsia" w:hAnsiTheme="minorEastAsia"/>
                <w:b/>
                <w:color w:val="000000" w:themeColor="text1"/>
                <w:kern w:val="0"/>
                <w:szCs w:val="21"/>
              </w:rPr>
              <w:t>1.价格分：</w:t>
            </w:r>
          </w:p>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投标材料满足招标文件要求且以</w:t>
            </w:r>
            <w:r>
              <w:rPr>
                <w:rFonts w:hint="eastAsia" w:cs="Segoe UI" w:asciiTheme="minorEastAsia" w:hAnsiTheme="minorEastAsia"/>
                <w:b/>
                <w:color w:val="000000" w:themeColor="text1"/>
                <w:kern w:val="0"/>
                <w:szCs w:val="21"/>
              </w:rPr>
              <w:t>投标总价</w:t>
            </w:r>
            <w:r>
              <w:rPr>
                <w:rFonts w:hint="eastAsia" w:cs="Segoe UI" w:asciiTheme="minorEastAsia" w:hAnsiTheme="minorEastAsia"/>
                <w:color w:val="000000" w:themeColor="text1"/>
                <w:kern w:val="0"/>
                <w:szCs w:val="21"/>
              </w:rPr>
              <w:t>最低的为</w:t>
            </w:r>
            <w:r>
              <w:rPr>
                <w:rFonts w:hint="eastAsia" w:cs="Segoe UI" w:asciiTheme="minorEastAsia" w:hAnsiTheme="minorEastAsia"/>
                <w:b/>
                <w:color w:val="000000" w:themeColor="text1"/>
                <w:kern w:val="0"/>
                <w:szCs w:val="21"/>
              </w:rPr>
              <w:t>评标基准价</w:t>
            </w:r>
            <w:r>
              <w:rPr>
                <w:rFonts w:hint="eastAsia" w:cs="Segoe UI" w:asciiTheme="minorEastAsia" w:hAnsiTheme="minorEastAsia"/>
                <w:color w:val="000000" w:themeColor="text1"/>
                <w:kern w:val="0"/>
                <w:szCs w:val="21"/>
              </w:rPr>
              <w:t>，其价格分为30分。其他投标单位的价格分统一按照以下公式计算：价格分=(</w:t>
            </w:r>
            <w:r>
              <w:rPr>
                <w:rFonts w:hint="eastAsia" w:cs="Segoe UI" w:asciiTheme="minorEastAsia" w:hAnsiTheme="minorEastAsia"/>
                <w:b/>
                <w:color w:val="000000" w:themeColor="text1"/>
                <w:kern w:val="0"/>
                <w:szCs w:val="21"/>
              </w:rPr>
              <w:t>评标基准价</w:t>
            </w:r>
            <w:r>
              <w:rPr>
                <w:rFonts w:hint="eastAsia" w:cs="Segoe UI" w:asciiTheme="minorEastAsia" w:hAnsiTheme="minorEastAsia"/>
                <w:color w:val="000000" w:themeColor="text1"/>
                <w:kern w:val="0"/>
                <w:szCs w:val="21"/>
              </w:rPr>
              <w:t>／投标报价)×30</w:t>
            </w:r>
          </w:p>
          <w:p>
            <w:pPr>
              <w:widowControl/>
              <w:wordWrap w:val="0"/>
              <w:spacing w:line="270" w:lineRule="atLeast"/>
              <w:jc w:val="left"/>
              <w:rPr>
                <w:rFonts w:cs="Segoe UI" w:asciiTheme="minorEastAsia" w:hAnsiTheme="minorEastAsia"/>
                <w:b/>
                <w:color w:val="000000" w:themeColor="text1"/>
                <w:kern w:val="0"/>
                <w:szCs w:val="21"/>
              </w:rPr>
            </w:pPr>
            <w:r>
              <w:rPr>
                <w:rFonts w:hint="eastAsia" w:cs="Segoe UI" w:asciiTheme="minorEastAsia" w:hAnsiTheme="minorEastAsia"/>
                <w:b/>
                <w:color w:val="000000" w:themeColor="text1"/>
                <w:kern w:val="0"/>
                <w:szCs w:val="21"/>
              </w:rPr>
              <w:t>2.投标总价</w:t>
            </w:r>
          </w:p>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投标总价=各项材料投标单价*我院预计年采购数量之和</w:t>
            </w:r>
          </w:p>
        </w:tc>
        <w:tc>
          <w:tcPr>
            <w:tcW w:w="3247" w:type="dxa"/>
            <w:tcBorders>
              <w:top w:val="single" w:color="auto" w:sz="4" w:space="0"/>
              <w:left w:val="nil"/>
              <w:bottom w:val="single" w:color="auto" w:sz="4" w:space="0"/>
              <w:right w:val="single" w:color="auto" w:sz="4" w:space="0"/>
            </w:tcBorders>
            <w:vAlign w:val="center"/>
          </w:tcPr>
          <w:p>
            <w:pPr>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 xml:space="preserve">1. </w:t>
            </w:r>
            <w:r>
              <w:rPr>
                <w:rFonts w:hint="eastAsia" w:cs="Segoe UI" w:asciiTheme="minorEastAsia" w:hAnsiTheme="minorEastAsia"/>
                <w:kern w:val="0"/>
                <w:szCs w:val="21"/>
              </w:rPr>
              <w:t>预计年度采购数量</w:t>
            </w:r>
            <w:r>
              <w:rPr>
                <w:rFonts w:hint="eastAsia" w:cs="Segoe UI" w:asciiTheme="minorEastAsia" w:hAnsiTheme="minorEastAsia"/>
                <w:color w:val="000000" w:themeColor="text1"/>
                <w:kern w:val="0"/>
                <w:szCs w:val="21"/>
              </w:rPr>
              <w:t>，仅作为报价评审依据；</w:t>
            </w:r>
          </w:p>
          <w:p>
            <w:pPr>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2.若同一品目比价产品有细分规格且报价不同，则按照同品类平均价计算单价；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2</w:t>
            </w:r>
          </w:p>
        </w:tc>
        <w:tc>
          <w:tcPr>
            <w:tcW w:w="709"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技术指标</w:t>
            </w:r>
          </w:p>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42%</w:t>
            </w:r>
          </w:p>
        </w:tc>
        <w:tc>
          <w:tcPr>
            <w:tcW w:w="638"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42</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投标人提供的试剂耗材的技术参数完全符合招标文件要求，没有负偏离得42分；非“*”条款技术参数不满足招标文件要求（负偏离）（共3条），一项扣6分，“*”条款技术参数不满足招标文件要求（负偏离）（共2条），一项扣12分；扣完为止。</w:t>
            </w:r>
          </w:p>
        </w:tc>
        <w:tc>
          <w:tcPr>
            <w:tcW w:w="3247"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1.每品目技术参数，供应商需逐条应答。</w:t>
            </w:r>
          </w:p>
          <w:p>
            <w:pPr>
              <w:widowControl/>
              <w:wordWrap w:val="0"/>
              <w:spacing w:line="270" w:lineRule="atLeast"/>
              <w:jc w:val="left"/>
              <w:rPr>
                <w:rFonts w:cs="Segoe UI" w:asciiTheme="minorEastAsia" w:hAnsiTheme="minorEastAsia"/>
                <w:color w:val="000000" w:themeColor="text1"/>
                <w:kern w:val="0"/>
                <w:sz w:val="18"/>
                <w:szCs w:val="18"/>
              </w:rPr>
            </w:pPr>
            <w:r>
              <w:rPr>
                <w:rFonts w:hint="eastAsia" w:cs="Segoe UI" w:asciiTheme="minorEastAsia" w:hAnsiTheme="minorEastAsia"/>
                <w:color w:val="000000" w:themeColor="text1"/>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restart"/>
            <w:tcBorders>
              <w:top w:val="single" w:color="auto" w:sz="4" w:space="0"/>
              <w:left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3</w:t>
            </w:r>
          </w:p>
        </w:tc>
        <w:tc>
          <w:tcPr>
            <w:tcW w:w="709" w:type="dxa"/>
            <w:vMerge w:val="restart"/>
            <w:tcBorders>
              <w:top w:val="single" w:color="auto" w:sz="4" w:space="0"/>
              <w:left w:val="nil"/>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投标人能力18%</w:t>
            </w:r>
          </w:p>
        </w:tc>
        <w:tc>
          <w:tcPr>
            <w:tcW w:w="638"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4</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247"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continue"/>
            <w:tcBorders>
              <w:left w:val="single" w:color="auto" w:sz="4" w:space="0"/>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709" w:type="dxa"/>
            <w:vMerge w:val="continue"/>
            <w:tcBorders>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638"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14</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2.投标人需提供该产品2018年以来国内三甲医疗机构或省市级疾控中心客户名单，每提供1家得2分，最多14分。</w:t>
            </w:r>
          </w:p>
        </w:tc>
        <w:tc>
          <w:tcPr>
            <w:tcW w:w="3247"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1.提供中标通知书或送货发票或合同复印件。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restart"/>
            <w:tcBorders>
              <w:top w:val="single" w:color="auto" w:sz="4" w:space="0"/>
              <w:left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4</w:t>
            </w:r>
          </w:p>
        </w:tc>
        <w:tc>
          <w:tcPr>
            <w:tcW w:w="709" w:type="dxa"/>
            <w:vMerge w:val="restart"/>
            <w:tcBorders>
              <w:top w:val="single" w:color="auto" w:sz="4" w:space="0"/>
              <w:left w:val="nil"/>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售后服务10%</w:t>
            </w:r>
          </w:p>
        </w:tc>
        <w:tc>
          <w:tcPr>
            <w:tcW w:w="638" w:type="dxa"/>
            <w:tcBorders>
              <w:top w:val="single" w:color="auto" w:sz="4" w:space="0"/>
              <w:left w:val="nil"/>
              <w:bottom w:val="single" w:color="auto" w:sz="4" w:space="0"/>
              <w:right w:val="single" w:color="auto" w:sz="4" w:space="0"/>
            </w:tcBorders>
            <w:vAlign w:val="center"/>
          </w:tcPr>
          <w:p>
            <w:pPr>
              <w:widowControl/>
              <w:spacing w:line="320" w:lineRule="atLeast"/>
              <w:ind w:left="-105" w:right="-107"/>
              <w:jc w:val="center"/>
              <w:rPr>
                <w:rFonts w:cs="Segoe UI" w:asciiTheme="minorEastAsia" w:hAnsiTheme="minorEastAsia"/>
                <w:kern w:val="0"/>
                <w:szCs w:val="21"/>
              </w:rPr>
            </w:pPr>
            <w:r>
              <w:rPr>
                <w:rFonts w:hint="eastAsia" w:cs="Segoe UI" w:asciiTheme="minorEastAsia" w:hAnsiTheme="minorEastAsia"/>
                <w:kern w:val="0"/>
                <w:szCs w:val="21"/>
              </w:rPr>
              <w:t>8</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rPr>
                <w:rFonts w:cs="Segoe UI" w:asciiTheme="minorEastAsia" w:hAnsiTheme="minorEastAsia"/>
                <w:kern w:val="0"/>
                <w:szCs w:val="21"/>
              </w:rPr>
            </w:pPr>
            <w:r>
              <w:rPr>
                <w:rFonts w:hint="eastAsia" w:cs="Segoe UI" w:asciiTheme="minorEastAsia" w:hAnsiTheme="minorEastAsia"/>
                <w:kern w:val="0"/>
                <w:szCs w:val="21"/>
              </w:rPr>
              <w:t>1.根据投标人提供的售后服务方案，包含：①售后服务体系②产品质量及货源保证③应急方案④技术支持。进行评审，四个方面提供完整且描述详细，符合本项目实际情况、有利于项目实施的，得8分；每有一项存在缺陷或漏洞的扣2分； 每有一项叙述不完善的扣1分，分值扣完为止。</w:t>
            </w:r>
          </w:p>
        </w:tc>
        <w:tc>
          <w:tcPr>
            <w:tcW w:w="3247" w:type="dxa"/>
            <w:tcBorders>
              <w:top w:val="single" w:color="auto" w:sz="4" w:space="0"/>
              <w:left w:val="nil"/>
              <w:bottom w:val="single" w:color="auto" w:sz="4" w:space="0"/>
              <w:right w:val="single" w:color="auto" w:sz="4" w:space="0"/>
            </w:tcBorders>
            <w:vAlign w:val="center"/>
          </w:tcPr>
          <w:p>
            <w:pPr>
              <w:widowControl/>
              <w:wordWrap w:val="0"/>
              <w:jc w:val="left"/>
              <w:rPr>
                <w:rFonts w:cs="Segoe UI" w:asciiTheme="minorEastAsia" w:hAnsiTheme="minorEastAsia"/>
                <w:kern w:val="0"/>
                <w:szCs w:val="21"/>
              </w:rPr>
            </w:pPr>
            <w:r>
              <w:rPr>
                <w:rFonts w:hint="eastAsia" w:cs="Segoe UI"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continue"/>
            <w:tcBorders>
              <w:left w:val="single" w:color="auto" w:sz="4" w:space="0"/>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709" w:type="dxa"/>
            <w:vMerge w:val="continue"/>
            <w:tcBorders>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638" w:type="dxa"/>
            <w:tcBorders>
              <w:top w:val="single" w:color="auto" w:sz="4" w:space="0"/>
              <w:left w:val="nil"/>
              <w:bottom w:val="single" w:color="auto" w:sz="4" w:space="0"/>
              <w:right w:val="single" w:color="auto" w:sz="4" w:space="0"/>
            </w:tcBorders>
            <w:vAlign w:val="center"/>
          </w:tcPr>
          <w:p>
            <w:pPr>
              <w:widowControl/>
              <w:spacing w:line="320" w:lineRule="atLeast"/>
              <w:ind w:left="-105" w:right="-107"/>
              <w:jc w:val="center"/>
              <w:rPr>
                <w:rFonts w:cs="Segoe UI" w:asciiTheme="minorEastAsia" w:hAnsiTheme="minorEastAsia"/>
                <w:kern w:val="0"/>
                <w:szCs w:val="21"/>
              </w:rPr>
            </w:pPr>
            <w:r>
              <w:rPr>
                <w:rFonts w:hint="eastAsia" w:cs="Segoe UI" w:asciiTheme="minorEastAsia" w:hAnsiTheme="minorEastAsia"/>
                <w:kern w:val="0"/>
                <w:szCs w:val="21"/>
              </w:rPr>
              <w:t>2</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rPr>
                <w:rFonts w:cs="Segoe UI" w:asciiTheme="minorEastAsia" w:hAnsiTheme="minorEastAsia"/>
                <w:kern w:val="0"/>
                <w:szCs w:val="21"/>
              </w:rPr>
            </w:pPr>
            <w:r>
              <w:rPr>
                <w:rFonts w:hint="eastAsia" w:cs="Segoe UI" w:asciiTheme="minorEastAsia" w:hAnsiTheme="minorEastAsia"/>
                <w:kern w:val="0"/>
                <w:szCs w:val="21"/>
              </w:rPr>
              <w:t>2.投标人在成都设有办事处或分公司或常驻维修机构（提供相关证明材料）得2分；未提供，不得分。</w:t>
            </w:r>
          </w:p>
        </w:tc>
        <w:tc>
          <w:tcPr>
            <w:tcW w:w="3247" w:type="dxa"/>
            <w:tcBorders>
              <w:top w:val="single" w:color="auto" w:sz="4" w:space="0"/>
              <w:left w:val="nil"/>
              <w:bottom w:val="single" w:color="auto" w:sz="4" w:space="0"/>
              <w:right w:val="single" w:color="auto" w:sz="4" w:space="0"/>
            </w:tcBorders>
            <w:vAlign w:val="center"/>
          </w:tcPr>
          <w:p>
            <w:pPr>
              <w:widowControl/>
              <w:wordWrap w:val="0"/>
              <w:jc w:val="left"/>
              <w:rPr>
                <w:rFonts w:cs="Segoe UI" w:asciiTheme="minorEastAsia" w:hAnsiTheme="minorEastAsia"/>
                <w:kern w:val="0"/>
                <w:szCs w:val="21"/>
              </w:rPr>
            </w:pPr>
            <w:r>
              <w:rPr>
                <w:rFonts w:hint="eastAsia" w:cs="Segoe UI" w:asciiTheme="minorEastAsia" w:hAnsiTheme="minorEastAsia"/>
                <w:kern w:val="0"/>
                <w:szCs w:val="21"/>
              </w:rPr>
              <w:t>/</w:t>
            </w:r>
          </w:p>
        </w:tc>
      </w:tr>
    </w:tbl>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r>
        <w:rPr>
          <w:rFonts w:hint="eastAsia" w:ascii="仿宋" w:hAnsi="仿宋" w:eastAsia="仿宋" w:cs="Segoe UI"/>
          <w:color w:val="000000" w:themeColor="text1"/>
          <w:spacing w:val="8"/>
          <w:kern w:val="0"/>
          <w:sz w:val="24"/>
          <w:szCs w:val="24"/>
        </w:rPr>
        <w:t>02包：心脏血管介入治疗相关耗材第二批</w:t>
      </w:r>
    </w:p>
    <w:tbl>
      <w:tblPr>
        <w:tblStyle w:val="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09"/>
        <w:gridCol w:w="638"/>
        <w:gridCol w:w="4181"/>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asciiTheme="minorEastAsia" w:hAnsiTheme="minorEastAsia"/>
                <w:szCs w:val="21"/>
              </w:rPr>
            </w:pPr>
            <w:r>
              <w:rPr>
                <w:rFonts w:hint="eastAsia" w:asciiTheme="minorEastAsia" w:hAnsiTheme="minorEastAsia"/>
              </w:rPr>
              <w:t>序号</w:t>
            </w:r>
          </w:p>
        </w:tc>
        <w:tc>
          <w:tcPr>
            <w:tcW w:w="709" w:type="dxa"/>
            <w:tcBorders>
              <w:top w:val="single" w:color="auto" w:sz="4" w:space="0"/>
              <w:left w:val="nil"/>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评分因素</w:t>
            </w:r>
          </w:p>
        </w:tc>
        <w:tc>
          <w:tcPr>
            <w:tcW w:w="638" w:type="dxa"/>
            <w:tcBorders>
              <w:top w:val="single" w:color="auto" w:sz="4" w:space="0"/>
              <w:left w:val="nil"/>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分值</w:t>
            </w:r>
          </w:p>
        </w:tc>
        <w:tc>
          <w:tcPr>
            <w:tcW w:w="4181" w:type="dxa"/>
            <w:tcBorders>
              <w:top w:val="single" w:color="auto" w:sz="4" w:space="0"/>
              <w:left w:val="nil"/>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评分标准</w:t>
            </w:r>
          </w:p>
        </w:tc>
        <w:tc>
          <w:tcPr>
            <w:tcW w:w="3247" w:type="dxa"/>
            <w:tcBorders>
              <w:top w:val="single" w:color="auto" w:sz="4" w:space="0"/>
              <w:left w:val="nil"/>
              <w:bottom w:val="single" w:color="auto" w:sz="4" w:space="0"/>
              <w:right w:val="single" w:color="auto" w:sz="4" w:space="0"/>
            </w:tcBorders>
            <w:vAlign w:val="center"/>
          </w:tcPr>
          <w:p>
            <w:pPr>
              <w:spacing w:line="276" w:lineRule="auto"/>
              <w:jc w:val="center"/>
              <w:rPr>
                <w:rFonts w:asciiTheme="minorEastAsia" w:hAnsiTheme="minorEastAsia"/>
              </w:rPr>
            </w:pPr>
            <w:r>
              <w:rPr>
                <w:rFonts w:hint="eastAsia" w:asciiTheme="minorEastAsia" w:hAnsi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asciiTheme="minorEastAsia" w:hAnsiTheme="minorEastAsia"/>
              </w:rPr>
            </w:pPr>
            <w:r>
              <w:rPr>
                <w:rFonts w:hint="eastAsia" w:asciiTheme="minorEastAsia" w:hAnsiTheme="minorEastAsia"/>
              </w:rPr>
              <w:t>1</w:t>
            </w:r>
          </w:p>
        </w:tc>
        <w:tc>
          <w:tcPr>
            <w:tcW w:w="709"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rPr>
            </w:pPr>
            <w:r>
              <w:rPr>
                <w:rFonts w:hint="eastAsia" w:asciiTheme="minorEastAsia" w:hAnsiTheme="minorEastAsia"/>
              </w:rPr>
              <w:t>报价</w:t>
            </w:r>
          </w:p>
        </w:tc>
        <w:tc>
          <w:tcPr>
            <w:tcW w:w="638" w:type="dxa"/>
            <w:tcBorders>
              <w:top w:val="single" w:color="auto" w:sz="4" w:space="0"/>
              <w:left w:val="nil"/>
              <w:bottom w:val="single" w:color="auto" w:sz="4" w:space="0"/>
              <w:right w:val="single" w:color="auto" w:sz="4" w:space="0"/>
            </w:tcBorders>
            <w:vAlign w:val="center"/>
          </w:tcPr>
          <w:p>
            <w:pPr>
              <w:spacing w:line="276" w:lineRule="auto"/>
              <w:rPr>
                <w:rFonts w:asciiTheme="minorEastAsia" w:hAnsiTheme="minorEastAsia"/>
              </w:rPr>
            </w:pPr>
            <w:r>
              <w:rPr>
                <w:rFonts w:hint="eastAsia" w:asciiTheme="minorEastAsia" w:hAnsiTheme="minorEastAsia"/>
              </w:rPr>
              <w:t>30</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b/>
                <w:color w:val="000000" w:themeColor="text1"/>
                <w:kern w:val="0"/>
                <w:szCs w:val="21"/>
              </w:rPr>
            </w:pPr>
            <w:r>
              <w:rPr>
                <w:rFonts w:hint="eastAsia" w:cs="Segoe UI" w:asciiTheme="minorEastAsia" w:hAnsiTheme="minorEastAsia"/>
                <w:b/>
                <w:color w:val="000000" w:themeColor="text1"/>
                <w:kern w:val="0"/>
                <w:szCs w:val="21"/>
              </w:rPr>
              <w:t>1.价格分：</w:t>
            </w:r>
          </w:p>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投标材料满足招标文件要求且以</w:t>
            </w:r>
            <w:r>
              <w:rPr>
                <w:rFonts w:hint="eastAsia" w:cs="Segoe UI" w:asciiTheme="minorEastAsia" w:hAnsiTheme="minorEastAsia"/>
                <w:b/>
                <w:color w:val="000000" w:themeColor="text1"/>
                <w:kern w:val="0"/>
                <w:szCs w:val="21"/>
              </w:rPr>
              <w:t>投标总价</w:t>
            </w:r>
            <w:r>
              <w:rPr>
                <w:rFonts w:hint="eastAsia" w:cs="Segoe UI" w:asciiTheme="minorEastAsia" w:hAnsiTheme="minorEastAsia"/>
                <w:color w:val="000000" w:themeColor="text1"/>
                <w:kern w:val="0"/>
                <w:szCs w:val="21"/>
              </w:rPr>
              <w:t>最低的为</w:t>
            </w:r>
            <w:r>
              <w:rPr>
                <w:rFonts w:hint="eastAsia" w:cs="Segoe UI" w:asciiTheme="minorEastAsia" w:hAnsiTheme="minorEastAsia"/>
                <w:b/>
                <w:color w:val="000000" w:themeColor="text1"/>
                <w:kern w:val="0"/>
                <w:szCs w:val="21"/>
              </w:rPr>
              <w:t>评标基准价</w:t>
            </w:r>
            <w:r>
              <w:rPr>
                <w:rFonts w:hint="eastAsia" w:cs="Segoe UI" w:asciiTheme="minorEastAsia" w:hAnsiTheme="minorEastAsia"/>
                <w:color w:val="000000" w:themeColor="text1"/>
                <w:kern w:val="0"/>
                <w:szCs w:val="21"/>
              </w:rPr>
              <w:t>，其价格分为30分。其他投标单位的价格分统一按照以下公式计算：价格分=(</w:t>
            </w:r>
            <w:r>
              <w:rPr>
                <w:rFonts w:hint="eastAsia" w:cs="Segoe UI" w:asciiTheme="minorEastAsia" w:hAnsiTheme="minorEastAsia"/>
                <w:b/>
                <w:color w:val="000000" w:themeColor="text1"/>
                <w:kern w:val="0"/>
                <w:szCs w:val="21"/>
              </w:rPr>
              <w:t>评标基准价</w:t>
            </w:r>
            <w:r>
              <w:rPr>
                <w:rFonts w:hint="eastAsia" w:cs="Segoe UI" w:asciiTheme="minorEastAsia" w:hAnsiTheme="minorEastAsia"/>
                <w:color w:val="000000" w:themeColor="text1"/>
                <w:kern w:val="0"/>
                <w:szCs w:val="21"/>
              </w:rPr>
              <w:t>／投标报价)×30</w:t>
            </w:r>
          </w:p>
          <w:p>
            <w:pPr>
              <w:widowControl/>
              <w:wordWrap w:val="0"/>
              <w:spacing w:line="270" w:lineRule="atLeast"/>
              <w:jc w:val="left"/>
              <w:rPr>
                <w:rFonts w:cs="Segoe UI" w:asciiTheme="minorEastAsia" w:hAnsiTheme="minorEastAsia"/>
                <w:b/>
                <w:color w:val="000000" w:themeColor="text1"/>
                <w:kern w:val="0"/>
                <w:szCs w:val="21"/>
              </w:rPr>
            </w:pPr>
            <w:r>
              <w:rPr>
                <w:rFonts w:hint="eastAsia" w:cs="Segoe UI" w:asciiTheme="minorEastAsia" w:hAnsiTheme="minorEastAsia"/>
                <w:b/>
                <w:color w:val="000000" w:themeColor="text1"/>
                <w:kern w:val="0"/>
                <w:szCs w:val="21"/>
              </w:rPr>
              <w:t>2.投标总价</w:t>
            </w:r>
          </w:p>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投标总价=各项材料投标单价*我院预计年采购数量之和</w:t>
            </w:r>
          </w:p>
        </w:tc>
        <w:tc>
          <w:tcPr>
            <w:tcW w:w="3247" w:type="dxa"/>
            <w:tcBorders>
              <w:top w:val="single" w:color="auto" w:sz="4" w:space="0"/>
              <w:left w:val="nil"/>
              <w:bottom w:val="single" w:color="auto" w:sz="4" w:space="0"/>
              <w:right w:val="single" w:color="auto" w:sz="4" w:space="0"/>
            </w:tcBorders>
            <w:vAlign w:val="center"/>
          </w:tcPr>
          <w:p>
            <w:pPr>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 xml:space="preserve">1. </w:t>
            </w:r>
            <w:r>
              <w:rPr>
                <w:rFonts w:hint="eastAsia" w:cs="Segoe UI" w:asciiTheme="minorEastAsia" w:hAnsiTheme="minorEastAsia"/>
                <w:kern w:val="0"/>
                <w:szCs w:val="21"/>
              </w:rPr>
              <w:t>预计年度采购数量</w:t>
            </w:r>
            <w:r>
              <w:rPr>
                <w:rFonts w:hint="eastAsia" w:cs="Segoe UI" w:asciiTheme="minorEastAsia" w:hAnsiTheme="minorEastAsia"/>
                <w:color w:val="000000" w:themeColor="text1"/>
                <w:kern w:val="0"/>
                <w:szCs w:val="21"/>
              </w:rPr>
              <w:t>，仅作为报价评审依据；</w:t>
            </w:r>
          </w:p>
          <w:p>
            <w:pPr>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2.若同一品目比价产品有细分规格且报价不同，则按照同品类平均价计算单价；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tcBorders>
              <w:top w:val="single" w:color="auto" w:sz="4" w:space="0"/>
              <w:left w:val="single" w:color="auto" w:sz="4" w:space="0"/>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2</w:t>
            </w:r>
          </w:p>
        </w:tc>
        <w:tc>
          <w:tcPr>
            <w:tcW w:w="709"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技术指标</w:t>
            </w:r>
          </w:p>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45%</w:t>
            </w:r>
          </w:p>
        </w:tc>
        <w:tc>
          <w:tcPr>
            <w:tcW w:w="638"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45</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投标人提供的试剂耗材的技术参数完全符合招标文件要求，没有负偏离得45分；非“*”条款技术参数不满足招标文件要求（负偏离）（共5条），一项扣3分，“*”条款技术参数不满足招标文件要求（负偏离）（共5条），一项扣6分；扣完为止。</w:t>
            </w:r>
          </w:p>
        </w:tc>
        <w:tc>
          <w:tcPr>
            <w:tcW w:w="3247"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color w:val="000000" w:themeColor="text1"/>
                <w:kern w:val="0"/>
                <w:szCs w:val="21"/>
              </w:rPr>
            </w:pPr>
            <w:r>
              <w:rPr>
                <w:rFonts w:hint="eastAsia" w:cs="Segoe UI" w:asciiTheme="minorEastAsia" w:hAnsiTheme="minorEastAsia"/>
                <w:color w:val="000000" w:themeColor="text1"/>
                <w:kern w:val="0"/>
                <w:szCs w:val="21"/>
              </w:rPr>
              <w:t>1.每品目技术参数，供应商需逐条应答。</w:t>
            </w:r>
          </w:p>
          <w:p>
            <w:pPr>
              <w:widowControl/>
              <w:wordWrap w:val="0"/>
              <w:spacing w:line="270" w:lineRule="atLeast"/>
              <w:jc w:val="left"/>
              <w:rPr>
                <w:rFonts w:cs="Segoe UI" w:asciiTheme="minorEastAsia" w:hAnsiTheme="minorEastAsia"/>
                <w:color w:val="000000" w:themeColor="text1"/>
                <w:kern w:val="0"/>
                <w:sz w:val="18"/>
                <w:szCs w:val="18"/>
              </w:rPr>
            </w:pPr>
            <w:r>
              <w:rPr>
                <w:rFonts w:hint="eastAsia" w:cs="Segoe UI" w:asciiTheme="minorEastAsia" w:hAnsiTheme="minorEastAsia"/>
                <w:color w:val="000000" w:themeColor="text1"/>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restart"/>
            <w:tcBorders>
              <w:top w:val="single" w:color="auto" w:sz="4" w:space="0"/>
              <w:left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3</w:t>
            </w:r>
          </w:p>
        </w:tc>
        <w:tc>
          <w:tcPr>
            <w:tcW w:w="709" w:type="dxa"/>
            <w:vMerge w:val="restart"/>
            <w:tcBorders>
              <w:top w:val="single" w:color="auto" w:sz="4" w:space="0"/>
              <w:left w:val="nil"/>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投标人能力15%</w:t>
            </w:r>
          </w:p>
        </w:tc>
        <w:tc>
          <w:tcPr>
            <w:tcW w:w="638"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4</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247"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continue"/>
            <w:tcBorders>
              <w:left w:val="single" w:color="auto" w:sz="4" w:space="0"/>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709" w:type="dxa"/>
            <w:vMerge w:val="continue"/>
            <w:tcBorders>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638" w:type="dxa"/>
            <w:tcBorders>
              <w:top w:val="single" w:color="auto" w:sz="4" w:space="0"/>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11</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2.投标人需提供该产品2018年以来国内三甲医疗机构或省市级疾控中心客户名单，每提供1家得2分，最多11分。</w:t>
            </w:r>
          </w:p>
        </w:tc>
        <w:tc>
          <w:tcPr>
            <w:tcW w:w="3247" w:type="dxa"/>
            <w:tcBorders>
              <w:top w:val="single" w:color="auto" w:sz="4" w:space="0"/>
              <w:left w:val="nil"/>
              <w:bottom w:val="single" w:color="auto" w:sz="4" w:space="0"/>
              <w:right w:val="single" w:color="auto" w:sz="4" w:space="0"/>
            </w:tcBorders>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1.提供中标通知书或送货发票或合同复印件。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restart"/>
            <w:tcBorders>
              <w:top w:val="single" w:color="auto" w:sz="4" w:space="0"/>
              <w:left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4</w:t>
            </w:r>
          </w:p>
        </w:tc>
        <w:tc>
          <w:tcPr>
            <w:tcW w:w="709" w:type="dxa"/>
            <w:vMerge w:val="restart"/>
            <w:tcBorders>
              <w:top w:val="single" w:color="auto" w:sz="4" w:space="0"/>
              <w:left w:val="nil"/>
              <w:right w:val="single" w:color="auto" w:sz="4" w:space="0"/>
            </w:tcBorders>
            <w:vAlign w:val="center"/>
          </w:tcPr>
          <w:p>
            <w:pPr>
              <w:widowControl/>
              <w:wordWrap w:val="0"/>
              <w:spacing w:line="270" w:lineRule="atLeast"/>
              <w:jc w:val="center"/>
              <w:rPr>
                <w:rFonts w:cs="Segoe UI" w:asciiTheme="minorEastAsia" w:hAnsiTheme="minorEastAsia"/>
                <w:kern w:val="0"/>
                <w:szCs w:val="21"/>
              </w:rPr>
            </w:pPr>
            <w:r>
              <w:rPr>
                <w:rFonts w:hint="eastAsia" w:cs="Segoe UI" w:asciiTheme="minorEastAsia" w:hAnsiTheme="minorEastAsia"/>
                <w:kern w:val="0"/>
                <w:szCs w:val="21"/>
              </w:rPr>
              <w:t>售后服务10%</w:t>
            </w:r>
          </w:p>
        </w:tc>
        <w:tc>
          <w:tcPr>
            <w:tcW w:w="638" w:type="dxa"/>
            <w:tcBorders>
              <w:top w:val="single" w:color="auto" w:sz="4" w:space="0"/>
              <w:left w:val="nil"/>
              <w:bottom w:val="single" w:color="auto" w:sz="4" w:space="0"/>
              <w:right w:val="single" w:color="auto" w:sz="4" w:space="0"/>
            </w:tcBorders>
            <w:vAlign w:val="center"/>
          </w:tcPr>
          <w:p>
            <w:pPr>
              <w:widowControl/>
              <w:spacing w:line="320" w:lineRule="atLeast"/>
              <w:ind w:left="-105" w:right="-107"/>
              <w:jc w:val="center"/>
              <w:rPr>
                <w:rFonts w:cs="Segoe UI" w:asciiTheme="minorEastAsia" w:hAnsiTheme="minorEastAsia"/>
                <w:kern w:val="0"/>
                <w:szCs w:val="21"/>
              </w:rPr>
            </w:pPr>
            <w:r>
              <w:rPr>
                <w:rFonts w:hint="eastAsia" w:cs="Segoe UI" w:asciiTheme="minorEastAsia" w:hAnsiTheme="minorEastAsia"/>
                <w:kern w:val="0"/>
                <w:szCs w:val="21"/>
              </w:rPr>
              <w:t>8</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rPr>
                <w:rFonts w:cs="Segoe UI" w:asciiTheme="minorEastAsia" w:hAnsiTheme="minorEastAsia"/>
                <w:kern w:val="0"/>
                <w:szCs w:val="21"/>
              </w:rPr>
            </w:pPr>
            <w:r>
              <w:rPr>
                <w:rFonts w:hint="eastAsia" w:cs="Segoe UI" w:asciiTheme="minorEastAsia" w:hAnsiTheme="minorEastAsia"/>
                <w:kern w:val="0"/>
                <w:szCs w:val="21"/>
              </w:rPr>
              <w:t>1.根据投标人提供的售后服务方案，包含：①售后服务体系②产品质量及货源保证③应急方案④技术支持。进行评审，四个方面提供完整且描述详细，符合本项目实际情况、有利于项目实施的，得8分；每有一项存在缺陷或漏洞的扣2分； 每有一项叙述不完善的扣1分，分值扣完为止。</w:t>
            </w:r>
          </w:p>
        </w:tc>
        <w:tc>
          <w:tcPr>
            <w:tcW w:w="3247" w:type="dxa"/>
            <w:tcBorders>
              <w:top w:val="single" w:color="auto" w:sz="4" w:space="0"/>
              <w:left w:val="nil"/>
              <w:bottom w:val="single" w:color="auto" w:sz="4" w:space="0"/>
              <w:right w:val="single" w:color="auto" w:sz="4" w:space="0"/>
            </w:tcBorders>
            <w:vAlign w:val="center"/>
          </w:tcPr>
          <w:p>
            <w:pPr>
              <w:widowControl/>
              <w:wordWrap w:val="0"/>
              <w:jc w:val="left"/>
              <w:rPr>
                <w:rFonts w:cs="Segoe UI" w:asciiTheme="minorEastAsia" w:hAnsiTheme="minorEastAsia"/>
                <w:kern w:val="0"/>
                <w:szCs w:val="21"/>
              </w:rPr>
            </w:pPr>
            <w:r>
              <w:rPr>
                <w:rFonts w:hint="eastAsia" w:cs="Segoe UI"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6" w:type="dxa"/>
            <w:vMerge w:val="continue"/>
            <w:tcBorders>
              <w:left w:val="single" w:color="auto" w:sz="4" w:space="0"/>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709" w:type="dxa"/>
            <w:vMerge w:val="continue"/>
            <w:tcBorders>
              <w:left w:val="nil"/>
              <w:bottom w:val="single" w:color="auto" w:sz="4" w:space="0"/>
              <w:right w:val="single" w:color="auto" w:sz="4" w:space="0"/>
            </w:tcBorders>
            <w:vAlign w:val="center"/>
          </w:tcPr>
          <w:p>
            <w:pPr>
              <w:widowControl/>
              <w:wordWrap w:val="0"/>
              <w:spacing w:line="270" w:lineRule="atLeast"/>
              <w:jc w:val="center"/>
              <w:rPr>
                <w:rFonts w:cs="Segoe UI" w:asciiTheme="minorEastAsia" w:hAnsiTheme="minorEastAsia"/>
                <w:kern w:val="0"/>
                <w:szCs w:val="21"/>
              </w:rPr>
            </w:pPr>
          </w:p>
        </w:tc>
        <w:tc>
          <w:tcPr>
            <w:tcW w:w="638" w:type="dxa"/>
            <w:tcBorders>
              <w:top w:val="single" w:color="auto" w:sz="4" w:space="0"/>
              <w:left w:val="nil"/>
              <w:bottom w:val="single" w:color="auto" w:sz="4" w:space="0"/>
              <w:right w:val="single" w:color="auto" w:sz="4" w:space="0"/>
            </w:tcBorders>
            <w:vAlign w:val="center"/>
          </w:tcPr>
          <w:p>
            <w:pPr>
              <w:widowControl/>
              <w:spacing w:line="320" w:lineRule="atLeast"/>
              <w:ind w:left="-105" w:right="-107"/>
              <w:jc w:val="center"/>
              <w:rPr>
                <w:rFonts w:cs="Segoe UI" w:asciiTheme="minorEastAsia" w:hAnsiTheme="minorEastAsia"/>
                <w:kern w:val="0"/>
                <w:szCs w:val="21"/>
              </w:rPr>
            </w:pPr>
            <w:r>
              <w:rPr>
                <w:rFonts w:hint="eastAsia" w:cs="Segoe UI" w:asciiTheme="minorEastAsia" w:hAnsiTheme="minorEastAsia"/>
                <w:kern w:val="0"/>
                <w:szCs w:val="21"/>
              </w:rPr>
              <w:t>2</w:t>
            </w:r>
          </w:p>
        </w:tc>
        <w:tc>
          <w:tcPr>
            <w:tcW w:w="4181" w:type="dxa"/>
            <w:tcBorders>
              <w:top w:val="single" w:color="auto" w:sz="4" w:space="0"/>
              <w:left w:val="nil"/>
              <w:bottom w:val="single" w:color="auto" w:sz="4" w:space="0"/>
              <w:right w:val="single" w:color="auto" w:sz="4" w:space="0"/>
            </w:tcBorders>
            <w:vAlign w:val="center"/>
          </w:tcPr>
          <w:p>
            <w:pPr>
              <w:widowControl/>
              <w:wordWrap w:val="0"/>
              <w:spacing w:line="270" w:lineRule="atLeast"/>
              <w:rPr>
                <w:rFonts w:cs="Segoe UI" w:asciiTheme="minorEastAsia" w:hAnsiTheme="minorEastAsia"/>
                <w:kern w:val="0"/>
                <w:szCs w:val="21"/>
              </w:rPr>
            </w:pPr>
            <w:r>
              <w:rPr>
                <w:rFonts w:hint="eastAsia" w:cs="Segoe UI" w:asciiTheme="minorEastAsia" w:hAnsiTheme="minorEastAsia"/>
                <w:kern w:val="0"/>
                <w:szCs w:val="21"/>
              </w:rPr>
              <w:t>2.投标人在成都设有办事处或分公司或常驻维修机构（提供相关证明材料）得2分；未提供，不得分。</w:t>
            </w:r>
          </w:p>
        </w:tc>
        <w:tc>
          <w:tcPr>
            <w:tcW w:w="3247" w:type="dxa"/>
            <w:tcBorders>
              <w:top w:val="single" w:color="auto" w:sz="4" w:space="0"/>
              <w:left w:val="nil"/>
              <w:bottom w:val="single" w:color="auto" w:sz="4" w:space="0"/>
              <w:right w:val="single" w:color="auto" w:sz="4" w:space="0"/>
            </w:tcBorders>
            <w:vAlign w:val="center"/>
          </w:tcPr>
          <w:p>
            <w:pPr>
              <w:widowControl/>
              <w:wordWrap w:val="0"/>
              <w:jc w:val="left"/>
              <w:rPr>
                <w:rFonts w:cs="Segoe UI" w:asciiTheme="minorEastAsia" w:hAnsiTheme="minorEastAsia"/>
                <w:kern w:val="0"/>
                <w:szCs w:val="21"/>
              </w:rPr>
            </w:pPr>
            <w:r>
              <w:rPr>
                <w:rFonts w:hint="eastAsia" w:cs="Segoe UI" w:asciiTheme="minorEastAsia" w:hAnsiTheme="minorEastAsia"/>
                <w:kern w:val="0"/>
                <w:szCs w:val="21"/>
              </w:rPr>
              <w:t>/</w:t>
            </w:r>
          </w:p>
        </w:tc>
      </w:tr>
    </w:tbl>
    <w:p>
      <w:pPr>
        <w:widowControl/>
        <w:spacing w:line="360" w:lineRule="auto"/>
        <w:jc w:val="left"/>
        <w:rPr>
          <w:rFonts w:ascii="宋体" w:hAnsi="宋体" w:eastAsia="宋体" w:cs="Segoe UI"/>
          <w:b/>
          <w:bCs/>
          <w:color w:val="FF0000"/>
          <w:kern w:val="0"/>
          <w:sz w:val="28"/>
          <w:szCs w:val="28"/>
        </w:rPr>
      </w:pPr>
    </w:p>
    <w:p>
      <w:pPr>
        <w:widowControl/>
        <w:jc w:val="left"/>
        <w:rPr>
          <w:rFonts w:ascii="仿宋_GB2312" w:hAnsi="Segoe UI" w:eastAsia="仿宋_GB2312" w:cs="Segoe UI"/>
          <w:b/>
          <w:bCs/>
          <w:color w:val="FF0000"/>
          <w:kern w:val="0"/>
          <w:sz w:val="28"/>
          <w:szCs w:val="28"/>
        </w:rPr>
      </w:pPr>
      <w:r>
        <w:rPr>
          <w:rFonts w:ascii="仿宋_GB2312" w:hAnsi="Segoe UI" w:eastAsia="仿宋_GB2312" w:cs="Segoe UI"/>
          <w:b/>
          <w:bCs/>
          <w:color w:val="FF0000"/>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8"/>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0" w:name="_Toc95295163"/>
      <w:bookmarkEnd w:id="0"/>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8"/>
        <w:tblW w:w="13921" w:type="dxa"/>
        <w:jc w:val="center"/>
        <w:shd w:val="clear" w:color="auto" w:fill="FFFFFF"/>
        <w:tblLayout w:type="autofit"/>
        <w:tblCellMar>
          <w:top w:w="0" w:type="dxa"/>
          <w:left w:w="0" w:type="dxa"/>
          <w:bottom w:w="0" w:type="dxa"/>
          <w:right w:w="0" w:type="dxa"/>
        </w:tblCellMar>
      </w:tblPr>
      <w:tblGrid>
        <w:gridCol w:w="782"/>
        <w:gridCol w:w="1417"/>
        <w:gridCol w:w="2030"/>
        <w:gridCol w:w="1418"/>
        <w:gridCol w:w="709"/>
        <w:gridCol w:w="992"/>
        <w:gridCol w:w="992"/>
        <w:gridCol w:w="1281"/>
        <w:gridCol w:w="971"/>
        <w:gridCol w:w="1144"/>
        <w:gridCol w:w="986"/>
        <w:gridCol w:w="1199"/>
      </w:tblGrid>
      <w:tr>
        <w:tblPrEx>
          <w:shd w:val="clear" w:color="auto" w:fill="FFFFFF"/>
          <w:tblCellMar>
            <w:top w:w="0" w:type="dxa"/>
            <w:left w:w="0" w:type="dxa"/>
            <w:bottom w:w="0" w:type="dxa"/>
            <w:right w:w="0" w:type="dxa"/>
          </w:tblCellMar>
        </w:tblPrEx>
        <w:trPr>
          <w:trHeight w:val="735" w:hRule="atLeast"/>
          <w:jc w:val="center"/>
        </w:trPr>
        <w:tc>
          <w:tcPr>
            <w:tcW w:w="782"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1199"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782"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1199"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782"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1199"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782"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1199"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承诺企业名称（公章）法人代表或委托代理人（承诺人）</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4A50"/>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12628"/>
    <w:rsid w:val="00222359"/>
    <w:rsid w:val="00222388"/>
    <w:rsid w:val="00224AD9"/>
    <w:rsid w:val="00236079"/>
    <w:rsid w:val="00246128"/>
    <w:rsid w:val="00254639"/>
    <w:rsid w:val="00255A8E"/>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17B2A"/>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885"/>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9F74D2"/>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15D510CE"/>
    <w:rsid w:val="4FBC119F"/>
    <w:rsid w:val="5749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uiPriority w:val="99"/>
    <w:rPr>
      <w:b/>
      <w:bCs/>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页眉 Char"/>
    <w:basedOn w:val="10"/>
    <w:link w:val="5"/>
    <w:semiHidden/>
    <w:uiPriority w:val="99"/>
    <w:rPr>
      <w:sz w:val="18"/>
      <w:szCs w:val="18"/>
    </w:rPr>
  </w:style>
  <w:style w:type="character" w:customStyle="1" w:styleId="13">
    <w:name w:val="页脚 Char"/>
    <w:basedOn w:val="10"/>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10"/>
    <w:link w:val="2"/>
    <w:semiHidden/>
    <w:uiPriority w:val="99"/>
  </w:style>
  <w:style w:type="character" w:customStyle="1" w:styleId="16">
    <w:name w:val="批注主题 Char"/>
    <w:basedOn w:val="15"/>
    <w:link w:val="7"/>
    <w:semiHidden/>
    <w:uiPriority w:val="99"/>
    <w:rPr>
      <w:b/>
      <w:bCs/>
    </w:rPr>
  </w:style>
  <w:style w:type="character" w:customStyle="1" w:styleId="17">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11</Pages>
  <Words>900</Words>
  <Characters>5135</Characters>
  <Lines>42</Lines>
  <Paragraphs>12</Paragraphs>
  <TotalTime>9</TotalTime>
  <ScaleCrop>false</ScaleCrop>
  <LinksUpToDate>false</LinksUpToDate>
  <CharactersWithSpaces>6023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2022-05-06T07:18:22Z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