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sz w:val="28"/>
          <w:szCs w:val="28"/>
          <w:lang w:val="en-US" w:eastAsia="zh-CN"/>
        </w:rPr>
      </w:pPr>
      <w:bookmarkStart w:id="0" w:name="_Toc2772862"/>
      <w:r>
        <w:rPr>
          <w:rFonts w:hint="eastAsia" w:ascii="黑体" w:hAnsi="黑体" w:eastAsia="黑体" w:cs="黑体"/>
          <w:sz w:val="36"/>
          <w:szCs w:val="36"/>
          <w:lang w:val="en-US" w:eastAsia="zh-CN"/>
        </w:rPr>
        <w:t>附件1</w:t>
      </w:r>
      <w:bookmarkStart w:id="5" w:name="_GoBack"/>
      <w:bookmarkEnd w:id="5"/>
      <w:r>
        <w:rPr>
          <w:rFonts w:hint="eastAsia" w:ascii="黑体" w:hAnsi="黑体" w:eastAsia="黑体" w:cs="黑体"/>
          <w:sz w:val="36"/>
          <w:szCs w:val="36"/>
          <w:lang w:val="en-US" w:eastAsia="zh-CN"/>
        </w:rPr>
        <w:t>：四川省妇幼保健院天府院区医疗废物在线监管系统</w:t>
      </w:r>
    </w:p>
    <w:p>
      <w:pPr>
        <w:pStyle w:val="3"/>
        <w:jc w:val="center"/>
        <w:rPr>
          <w:rFonts w:hint="eastAsia" w:ascii="宋体" w:hAnsi="宋体" w:eastAsia="宋体" w:cs="宋体"/>
          <w:sz w:val="28"/>
          <w:szCs w:val="28"/>
        </w:rPr>
      </w:pPr>
      <w:r>
        <w:rPr>
          <w:rFonts w:hint="eastAsia" w:ascii="黑体" w:hAnsi="黑体" w:eastAsia="黑体" w:cs="黑体"/>
          <w:sz w:val="36"/>
          <w:szCs w:val="36"/>
          <w:lang w:val="en-US" w:eastAsia="zh-CN"/>
        </w:rPr>
        <w:t>采购需求</w:t>
      </w:r>
      <w:r>
        <w:rPr>
          <w:rFonts w:hint="eastAsia" w:ascii="宋体" w:hAnsi="宋体" w:eastAsia="宋体" w:cs="宋体"/>
          <w:sz w:val="28"/>
          <w:szCs w:val="28"/>
        </w:rPr>
        <w:t xml:space="preserve"> </w:t>
      </w:r>
      <w:bookmarkEnd w:id="0"/>
    </w:p>
    <w:p>
      <w:pPr>
        <w:pStyle w:val="15"/>
        <w:numPr>
          <w:ilvl w:val="0"/>
          <w:numId w:val="0"/>
        </w:numPr>
        <w:ind w:leftChars="0"/>
        <w:rPr>
          <w:rFonts w:hint="eastAsia" w:ascii="宋体" w:hAnsi="宋体" w:eastAsia="宋体" w:cs="宋体"/>
          <w:b/>
          <w:bCs/>
          <w:color w:val="030303"/>
          <w:sz w:val="28"/>
          <w:szCs w:val="28"/>
          <w:shd w:val="clear" w:color="auto" w:fill="FFFFFF"/>
        </w:rPr>
      </w:pPr>
      <w:bookmarkStart w:id="1" w:name="_Toc217446095"/>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 xml:space="preserve">项目简介  </w:t>
      </w:r>
    </w:p>
    <w:p>
      <w:pPr>
        <w:ind w:firstLine="420" w:firstLineChars="150"/>
        <w:rPr>
          <w:rFonts w:hint="eastAsia" w:ascii="宋体" w:hAnsi="宋体" w:eastAsia="宋体" w:cs="宋体"/>
          <w:sz w:val="28"/>
          <w:szCs w:val="28"/>
          <w:lang w:val="en-US" w:eastAsia="zh-CN"/>
        </w:rPr>
      </w:pPr>
      <w:r>
        <w:rPr>
          <w:rFonts w:hint="eastAsia" w:ascii="宋体" w:hAnsi="宋体" w:eastAsia="宋体" w:cs="宋体"/>
          <w:sz w:val="28"/>
          <w:szCs w:val="28"/>
        </w:rPr>
        <w:t>按照川卫监总发〔2019〕28号文件要求，拟建一套医废在线监管系统，通过建立医疗废物在线监管软件系统，利用具备智能称重、扫描交接、数据交互、路线监控等功能的医废智能收集硬件，以互联网和信息技术手段为载体，实现医疗废物产生、流转、运输、暂存的全过程、无死角、全天候信息化动态实时监管，所有数据、功能等与省医废在线监管系统完全对接。</w:t>
      </w:r>
    </w:p>
    <w:p>
      <w:pPr>
        <w:ind w:firstLine="422" w:firstLineChars="150"/>
        <w:rPr>
          <w:rFonts w:hint="eastAsia" w:ascii="宋体" w:hAnsi="宋体" w:eastAsia="宋体" w:cs="宋体"/>
          <w:b/>
          <w:bCs/>
          <w:sz w:val="28"/>
          <w:szCs w:val="28"/>
          <w:lang w:eastAsia="zh-CN"/>
        </w:rPr>
      </w:pPr>
      <w:r>
        <w:rPr>
          <w:rFonts w:hint="eastAsia" w:ascii="宋体" w:hAnsi="宋体" w:eastAsia="宋体" w:cs="宋体"/>
          <w:b/>
          <w:bCs/>
          <w:sz w:val="28"/>
          <w:szCs w:val="28"/>
        </w:rPr>
        <w:t>项目预算：</w:t>
      </w:r>
      <w:r>
        <w:rPr>
          <w:rFonts w:hint="eastAsia" w:ascii="宋体" w:hAnsi="宋体" w:eastAsia="宋体" w:cs="宋体"/>
          <w:b/>
          <w:bCs/>
          <w:sz w:val="28"/>
          <w:szCs w:val="28"/>
          <w:lang w:val="en-US" w:eastAsia="zh-CN"/>
        </w:rPr>
        <w:t>30</w:t>
      </w:r>
      <w:r>
        <w:rPr>
          <w:rFonts w:hint="eastAsia" w:ascii="宋体" w:hAnsi="宋体" w:eastAsia="宋体" w:cs="宋体"/>
          <w:b/>
          <w:bCs/>
          <w:sz w:val="28"/>
          <w:szCs w:val="28"/>
        </w:rPr>
        <w:t>万元。</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包含3年运行费用</w:t>
      </w:r>
      <w:r>
        <w:rPr>
          <w:rFonts w:hint="eastAsia" w:ascii="宋体" w:hAnsi="宋体" w:eastAsia="宋体" w:cs="宋体"/>
          <w:b/>
          <w:bCs/>
          <w:sz w:val="28"/>
          <w:szCs w:val="28"/>
          <w:lang w:eastAsia="zh-CN"/>
        </w:rPr>
        <w:t>）</w:t>
      </w:r>
    </w:p>
    <w:p>
      <w:pPr>
        <w:adjustRightInd w:val="0"/>
        <w:snapToGrid w:val="0"/>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二、项目范围</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1.区域范围：天府院区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 项目清单</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00"/>
        <w:gridCol w:w="1088"/>
        <w:gridCol w:w="1245"/>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序号</w:t>
            </w:r>
          </w:p>
        </w:tc>
        <w:tc>
          <w:tcPr>
            <w:tcW w:w="2200"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w:t>
            </w:r>
          </w:p>
        </w:tc>
        <w:tc>
          <w:tcPr>
            <w:tcW w:w="1088"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单位</w:t>
            </w:r>
          </w:p>
        </w:tc>
        <w:tc>
          <w:tcPr>
            <w:tcW w:w="1245"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数量</w:t>
            </w:r>
          </w:p>
        </w:tc>
        <w:tc>
          <w:tcPr>
            <w:tcW w:w="3793"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1</w:t>
            </w:r>
          </w:p>
        </w:tc>
        <w:tc>
          <w:tcPr>
            <w:tcW w:w="2200"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医疗废物信息系统</w:t>
            </w:r>
          </w:p>
        </w:tc>
        <w:tc>
          <w:tcPr>
            <w:tcW w:w="1088"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套</w:t>
            </w:r>
          </w:p>
        </w:tc>
        <w:tc>
          <w:tcPr>
            <w:tcW w:w="1245"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p>
        </w:tc>
        <w:tc>
          <w:tcPr>
            <w:tcW w:w="3793"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要求与四川省卫生监督综合在线监测软件平台实现完全对接，不开发新的平台。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13"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2</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医疗废物智能收集车</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793"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供应商可提供拆分式硬件或全集成的硬件，集成的包含</w:t>
            </w:r>
            <w:r>
              <w:rPr>
                <w:rFonts w:hint="eastAsia" w:ascii="宋体" w:hAnsi="宋体" w:eastAsia="宋体" w:cs="宋体"/>
                <w:sz w:val="28"/>
                <w:szCs w:val="28"/>
                <w:lang w:val="en-US" w:eastAsia="zh-CN"/>
              </w:rPr>
              <w:t>电动助力，</w:t>
            </w:r>
            <w:r>
              <w:rPr>
                <w:rFonts w:hint="eastAsia" w:ascii="宋体" w:hAnsi="宋体" w:eastAsia="宋体" w:cs="宋体"/>
                <w:sz w:val="28"/>
                <w:szCs w:val="28"/>
              </w:rPr>
              <w:t>扫码器，电子秤，摄像头、打印机、语音播报等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3" w:type="dxa"/>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暂存点视频监控</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套</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p>
        </w:tc>
        <w:tc>
          <w:tcPr>
            <w:tcW w:w="3793" w:type="dxa"/>
            <w:tcBorders>
              <w:left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用于</w:t>
            </w:r>
            <w:r>
              <w:rPr>
                <w:rFonts w:hint="eastAsia" w:ascii="宋体" w:hAnsi="宋体" w:eastAsia="宋体" w:cs="宋体"/>
                <w:sz w:val="28"/>
                <w:szCs w:val="28"/>
              </w:rPr>
              <w:t>医疗废物暂存点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3" w:type="dxa"/>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项目实施服务</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1</w:t>
            </w:r>
          </w:p>
        </w:tc>
        <w:tc>
          <w:tcPr>
            <w:tcW w:w="3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含软硬件安装调试、培训、须提供收集流程管理、应急预案、管理规范等内容。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3" w:type="dxa"/>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耗材费</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含</w:t>
            </w:r>
            <w:r>
              <w:rPr>
                <w:rFonts w:hint="eastAsia" w:ascii="宋体" w:hAnsi="宋体" w:eastAsia="宋体" w:cs="宋体"/>
                <w:sz w:val="28"/>
                <w:szCs w:val="28"/>
                <w:lang w:val="en-US" w:eastAsia="zh-CN"/>
              </w:rPr>
              <w:t>3</w:t>
            </w:r>
            <w:r>
              <w:rPr>
                <w:rFonts w:hint="eastAsia" w:ascii="宋体" w:hAnsi="宋体" w:eastAsia="宋体" w:cs="宋体"/>
                <w:sz w:val="28"/>
                <w:szCs w:val="28"/>
              </w:rPr>
              <w:t>年内所有条码标签、打印纸耗材费用。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3" w:type="dxa"/>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软硬件维护费</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c>
          <w:tcPr>
            <w:tcW w:w="3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含</w:t>
            </w:r>
            <w:r>
              <w:rPr>
                <w:rFonts w:hint="eastAsia" w:ascii="宋体" w:hAnsi="宋体" w:eastAsia="宋体" w:cs="宋体"/>
                <w:sz w:val="28"/>
                <w:szCs w:val="28"/>
                <w:lang w:val="en-US" w:eastAsia="zh-CN"/>
              </w:rPr>
              <w:t>3</w:t>
            </w:r>
            <w:r>
              <w:rPr>
                <w:rFonts w:hint="eastAsia" w:ascii="宋体" w:hAnsi="宋体" w:eastAsia="宋体" w:cs="宋体"/>
                <w:sz w:val="28"/>
                <w:szCs w:val="28"/>
              </w:rPr>
              <w:t>年内所有硬件、软件的维护保养、零配件维修、软硬件系统升级、</w:t>
            </w:r>
            <w:r>
              <w:rPr>
                <w:rFonts w:hint="eastAsia" w:ascii="宋体" w:hAnsi="宋体" w:eastAsia="宋体" w:cs="宋体"/>
                <w:sz w:val="28"/>
                <w:szCs w:val="28"/>
                <w:lang w:val="en-US" w:eastAsia="zh-CN"/>
              </w:rPr>
              <w:t>4</w:t>
            </w:r>
            <w:r>
              <w:rPr>
                <w:rFonts w:hint="eastAsia" w:ascii="宋体" w:hAnsi="宋体" w:eastAsia="宋体" w:cs="宋体"/>
                <w:sz w:val="28"/>
                <w:szCs w:val="28"/>
              </w:rPr>
              <w:t>G网卡数据流量等一切软硬件相关费用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3" w:type="dxa"/>
            <w:vAlign w:val="center"/>
          </w:tcPr>
          <w:p>
            <w:pPr>
              <w:spacing w:line="360" w:lineRule="auto"/>
              <w:rPr>
                <w:rFonts w:hint="eastAsia" w:ascii="宋体" w:hAnsi="宋体" w:eastAsia="宋体" w:cs="宋体"/>
                <w:sz w:val="28"/>
                <w:szCs w:val="28"/>
                <w:lang w:val="en-US" w:eastAsia="zh-CN"/>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lang w:val="en-US" w:eastAsia="zh-CN"/>
              </w:rPr>
            </w:pPr>
          </w:p>
        </w:tc>
        <w:tc>
          <w:tcPr>
            <w:tcW w:w="3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8"/>
                <w:szCs w:val="28"/>
              </w:rPr>
            </w:pP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w:t>
      </w:r>
      <w:bookmarkEnd w:id="1"/>
      <w:r>
        <w:rPr>
          <w:rFonts w:hint="eastAsia" w:ascii="宋体" w:hAnsi="宋体" w:eastAsia="宋体" w:cs="宋体"/>
          <w:sz w:val="28"/>
          <w:szCs w:val="28"/>
        </w:rPr>
        <w:t>技术参数要求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（一）硬件建设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1.医疗废物收集车接口及数据要求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1.1医疗废物收集终端设备必须无缝接入在线监管软件平台，无需报备、手动升级或更改，收集终端采集到的数据直接发送至四川省卫生监督综合在线监管平台，不允许经过第三方平台转发数据。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1.2采集的数据须符合行业指导标准，至少包括医院信息、科室信息、交接人信息、收集时间、收集人信息、医废类型、医废重量、智能终端的路径信息、视频信息、医废入库信息、医废出库信息等。以后省、市监管提出新的要求，则应及时升级以满足需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1.3具备报表自动统计功能，包括监督管理报表和统计分析报表：监督管理报表包括：医院预警报表、区域预警报表、医废分级统计报表、医废分级汇总报表、分医疗机构等级汇总表、医疗机构类别汇总表等。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统计分析报表：医疗机构医废统计报表、各个医疗机构科室医废统计报表、收集工人工作量报表等。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1.4达到</w:t>
      </w:r>
      <w:r>
        <w:rPr>
          <w:rFonts w:hint="eastAsia" w:ascii="宋体" w:hAnsi="宋体" w:eastAsia="宋体" w:cs="宋体"/>
          <w:sz w:val="28"/>
          <w:szCs w:val="28"/>
          <w:lang w:val="en-US" w:eastAsia="zh-CN"/>
        </w:rPr>
        <w:t>六</w:t>
      </w:r>
      <w:r>
        <w:rPr>
          <w:rFonts w:hint="eastAsia" w:ascii="宋体" w:hAnsi="宋体" w:eastAsia="宋体" w:cs="宋体"/>
          <w:sz w:val="28"/>
          <w:szCs w:val="28"/>
        </w:rPr>
        <w:t>大预警要求，并有相应的处置流程：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（1）未出医废预警：当天系统查询，此科室之前几天连续没收，产生预警；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（2）交接</w:t>
      </w:r>
      <w:r>
        <w:rPr>
          <w:rFonts w:hint="eastAsia" w:ascii="宋体" w:hAnsi="宋体" w:eastAsia="宋体" w:cs="宋体"/>
          <w:sz w:val="28"/>
          <w:szCs w:val="28"/>
          <w:lang w:val="en-US" w:eastAsia="zh-CN"/>
        </w:rPr>
        <w:t>信息不完整</w:t>
      </w:r>
      <w:r>
        <w:rPr>
          <w:rFonts w:hint="eastAsia" w:ascii="宋体" w:hAnsi="宋体" w:eastAsia="宋体" w:cs="宋体"/>
          <w:sz w:val="28"/>
          <w:szCs w:val="28"/>
        </w:rPr>
        <w:t>预警：收集此科室医废前，没扫护士工牌，移交人员显示- -，产生预警；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（3）入库超时预警: 收集后，多长时间没入库（</w:t>
      </w:r>
      <w:r>
        <w:rPr>
          <w:rFonts w:hint="eastAsia" w:ascii="宋体" w:hAnsi="宋体" w:eastAsia="宋体" w:cs="宋体"/>
          <w:sz w:val="28"/>
          <w:szCs w:val="28"/>
          <w:lang w:val="en-US" w:eastAsia="zh-CN"/>
        </w:rPr>
        <w:t>24</w:t>
      </w:r>
      <w:r>
        <w:rPr>
          <w:rFonts w:hint="eastAsia" w:ascii="宋体" w:hAnsi="宋体" w:eastAsia="宋体" w:cs="宋体"/>
          <w:sz w:val="28"/>
          <w:szCs w:val="28"/>
        </w:rPr>
        <w:t>小时），产生预警；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（4）遗失预警（入库前）：同一收集设备同一车次的医废入库数量少于收集数量，或者入库超时预警发生后超过12小时仍未入库，判断为遗失预警。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（5）出库超时预警: 入库后几天没有出库（</w:t>
      </w:r>
      <w:r>
        <w:rPr>
          <w:rFonts w:hint="eastAsia" w:ascii="宋体" w:hAnsi="宋体" w:eastAsia="宋体" w:cs="宋体"/>
          <w:sz w:val="28"/>
          <w:szCs w:val="28"/>
          <w:lang w:val="en-US" w:eastAsia="zh-CN"/>
        </w:rPr>
        <w:t>48小时</w:t>
      </w:r>
      <w:r>
        <w:rPr>
          <w:rFonts w:hint="eastAsia" w:ascii="宋体" w:hAnsi="宋体" w:eastAsia="宋体" w:cs="宋体"/>
          <w:sz w:val="28"/>
          <w:szCs w:val="28"/>
        </w:rPr>
        <w:t>），产生预警；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（6）遗失预警（入库后）：出库超时预警发生后超过48小时仍未出库，判断为遗失预警。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1.5采集到的数据可以同步进行电脑端和手机APP监管，并且每一包医废可以通过手机扫码进行监督管理且追溯源头。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（二）医疗废物收集车参数要求：</w:t>
      </w:r>
    </w:p>
    <w:tbl>
      <w:tblPr>
        <w:tblStyle w:val="12"/>
        <w:tblW w:w="9418"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731"/>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75"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类型</w:t>
            </w:r>
          </w:p>
        </w:tc>
        <w:tc>
          <w:tcPr>
            <w:tcW w:w="17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名称</w:t>
            </w:r>
          </w:p>
        </w:tc>
        <w:tc>
          <w:tcPr>
            <w:tcW w:w="6512"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restart"/>
            <w:vAlign w:val="top"/>
          </w:tcPr>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医疗废物智能收集车</w:t>
            </w: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材质</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8MM 厚及以上，ABS 塑料材质，耐穿刺，防遗撒、防渗漏，耐磨性高，易清洗，并含有排污口，可方便排污；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外观</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全车身无棱角设计，防止行驶过程中与人员或墙体磕碰产生的安全隐患，安全级别高；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显示</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显示屏≥10.1寸；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开口方式</w:t>
            </w:r>
            <w:r>
              <w:rPr>
                <w:rFonts w:hint="eastAsia" w:ascii="宋体" w:hAnsi="宋体" w:eastAsia="宋体" w:cs="宋体"/>
                <w:sz w:val="28"/>
                <w:szCs w:val="28"/>
                <w:lang w:val="en-US" w:eastAsia="zh-CN"/>
              </w:rPr>
              <w:t>及</w:t>
            </w:r>
            <w:r>
              <w:rPr>
                <w:rFonts w:hint="eastAsia" w:ascii="宋体" w:hAnsi="宋体" w:eastAsia="宋体" w:cs="宋体"/>
                <w:sz w:val="28"/>
                <w:szCs w:val="28"/>
              </w:rPr>
              <w:t>全身尺寸</w:t>
            </w:r>
          </w:p>
        </w:tc>
        <w:tc>
          <w:tcPr>
            <w:tcW w:w="6512" w:type="dxa"/>
            <w:vAlign w:val="top"/>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上开口（双门），</w:t>
            </w:r>
            <w:r>
              <w:rPr>
                <w:rFonts w:hint="eastAsia" w:ascii="宋体" w:hAnsi="宋体" w:eastAsia="宋体" w:cs="宋体"/>
                <w:sz w:val="28"/>
                <w:szCs w:val="28"/>
                <w:lang w:val="en-US" w:eastAsia="zh-CN"/>
              </w:rPr>
              <w:t>车身</w:t>
            </w:r>
            <w:r>
              <w:rPr>
                <w:rFonts w:hint="eastAsia" w:ascii="宋体" w:hAnsi="宋体" w:eastAsia="宋体" w:cs="宋体"/>
                <w:sz w:val="28"/>
                <w:szCs w:val="28"/>
              </w:rPr>
              <w:t>不小于1.5米*0.75米*1.4米</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容积</w:t>
            </w:r>
          </w:p>
        </w:tc>
        <w:tc>
          <w:tcPr>
            <w:tcW w:w="6512" w:type="dxa"/>
            <w:vAlign w:val="top"/>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容积</w:t>
            </w:r>
            <w:r>
              <w:rPr>
                <w:rFonts w:hint="eastAsia" w:ascii="宋体" w:hAnsi="宋体" w:eastAsia="宋体" w:cs="宋体"/>
                <w:sz w:val="28"/>
                <w:szCs w:val="28"/>
                <w:lang w:eastAsia="zh-CN"/>
              </w:rPr>
              <w:t>：</w:t>
            </w:r>
            <w:r>
              <w:rPr>
                <w:rFonts w:hint="eastAsia" w:ascii="宋体" w:hAnsi="宋体" w:eastAsia="宋体" w:cs="宋体"/>
                <w:sz w:val="28"/>
                <w:szCs w:val="28"/>
              </w:rPr>
              <w:t>750L</w:t>
            </w:r>
            <w:r>
              <w:rPr>
                <w:rFonts w:hint="eastAsia" w:ascii="宋体" w:hAnsi="宋体" w:eastAsia="宋体" w:cs="宋体"/>
                <w:sz w:val="28"/>
                <w:szCs w:val="28"/>
                <w:lang w:val="en-US" w:eastAsia="zh-CN"/>
              </w:rPr>
              <w:t>,±10L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★设备载重</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设备最大载重≥500kg</w:t>
            </w:r>
            <w:r>
              <w:rPr>
                <w:rFonts w:hint="eastAsia" w:ascii="宋体" w:hAnsi="宋体" w:eastAsia="宋体" w:cs="宋体"/>
                <w:sz w:val="28"/>
                <w:szCs w:val="28"/>
                <w:lang w:val="en-US" w:eastAsia="zh-CN"/>
              </w:rPr>
              <w:t>（提供具有CMA标识的检测机构出具的检验报告）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exac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智能化整车称重</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智能化整车称重方式，收集人员从科室交接人员接到医废袋子后，只需对医废袋子扫码，即可将医废袋子投入车厢，车体自动称重自动信息上报；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称重量程</w:t>
            </w:r>
          </w:p>
        </w:tc>
        <w:tc>
          <w:tcPr>
            <w:tcW w:w="6512" w:type="dxa"/>
            <w:vAlign w:val="top"/>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20g-500kg；称重精度，单包医废1kg以上不低于2/1000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高度集成一体化设计</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要求整车称重、行车雷达、行车视频、工控机属于智能收集车的有机组成部分；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全程扫码操作</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收集过程只需通过扫码枪完成，无需在显示屏进行触摸操作；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防止交叉感染</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收集过程中，收集人员只需一次接触医废完成收集作业，避免因多次接触增大感染几率，防止二次交叉感染；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排污、消毒</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需预留排污孔方便排污，车身可水洗消毒；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电动助力</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需配有电动助力，操作方式为转把操作(类似电动车)，前进、后退可切换；</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无障碍操作</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语音播报功能，收集过程全部语音提示，</w:t>
            </w:r>
            <w:r>
              <w:rPr>
                <w:rFonts w:hint="eastAsia" w:ascii="宋体" w:hAnsi="宋体" w:eastAsia="宋体" w:cs="宋体"/>
                <w:sz w:val="28"/>
                <w:szCs w:val="28"/>
                <w:lang w:val="en-US" w:eastAsia="zh-CN"/>
              </w:rPr>
              <w:t>应</w:t>
            </w:r>
            <w:r>
              <w:rPr>
                <w:rFonts w:hint="eastAsia" w:ascii="宋体" w:hAnsi="宋体" w:eastAsia="宋体" w:cs="宋体"/>
                <w:sz w:val="28"/>
                <w:szCs w:val="28"/>
              </w:rPr>
              <w:t>具有收集人登录、交接人录入、医废收集、医废称重、医废入库、遇障报警语音提醒功能；</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exac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★续航里程</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负载100kg，续航应≥20Km；</w:t>
            </w:r>
            <w:r>
              <w:rPr>
                <w:rFonts w:hint="eastAsia" w:ascii="宋体" w:hAnsi="宋体" w:eastAsia="宋体" w:cs="宋体"/>
                <w:sz w:val="28"/>
                <w:szCs w:val="28"/>
                <w:lang w:val="en-US" w:eastAsia="zh-CN"/>
              </w:rPr>
              <w:t>（提供封面具有CMA标识的检测机构出具的检验报告）</w:t>
            </w:r>
          </w:p>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负载爬坡</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载重200kg,坡度≤10度；</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★运载安全性</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左右倾斜（200kg）≤10度，前后倾斜（200kg）≤10度；</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行车视频</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一体化行车影像，行车过程通过按钮可切换行车影像画面，本地可查看30条行车视频记录（提供样品</w:t>
            </w:r>
            <w:r>
              <w:rPr>
                <w:rFonts w:hint="eastAsia" w:ascii="宋体" w:hAnsi="宋体" w:eastAsia="宋体" w:cs="宋体"/>
                <w:sz w:val="28"/>
                <w:szCs w:val="28"/>
                <w:lang w:val="en-US" w:eastAsia="zh-CN"/>
              </w:rPr>
              <w:t>的</w:t>
            </w:r>
            <w:r>
              <w:rPr>
                <w:rFonts w:hint="eastAsia" w:ascii="宋体" w:hAnsi="宋体" w:eastAsia="宋体" w:cs="宋体"/>
                <w:sz w:val="28"/>
                <w:szCs w:val="28"/>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行车安全</w:t>
            </w:r>
          </w:p>
        </w:tc>
        <w:tc>
          <w:tcPr>
            <w:tcW w:w="6512" w:type="dxa"/>
            <w:vAlign w:val="top"/>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一体化行车雷达系统，安全性能高，按下视频按钮，如前方遇有人员或障碍物时，进行遇障自动报警</w:t>
            </w:r>
            <w:r>
              <w:rPr>
                <w:rFonts w:hint="eastAsia" w:ascii="宋体" w:hAnsi="宋体" w:eastAsia="宋体" w:cs="宋体"/>
                <w:sz w:val="28"/>
                <w:szCs w:val="28"/>
                <w:lang w:eastAsia="zh-CN"/>
              </w:rPr>
              <w:t>；（提供样品</w:t>
            </w:r>
            <w:r>
              <w:rPr>
                <w:rFonts w:hint="eastAsia" w:ascii="宋体" w:hAnsi="宋体" w:eastAsia="宋体" w:cs="宋体"/>
                <w:sz w:val="28"/>
                <w:szCs w:val="28"/>
                <w:lang w:val="en-US" w:eastAsia="zh-CN"/>
              </w:rPr>
              <w:t>的</w:t>
            </w:r>
            <w:r>
              <w:rPr>
                <w:rFonts w:hint="eastAsia" w:ascii="宋体" w:hAnsi="宋体" w:eastAsia="宋体" w:cs="宋体"/>
                <w:sz w:val="28"/>
                <w:szCs w:val="28"/>
                <w:lang w:eastAsia="zh-CN"/>
              </w:rPr>
              <w:t>视频演示</w:t>
            </w:r>
            <w:r>
              <w:rPr>
                <w:rFonts w:hint="eastAsia" w:ascii="宋体" w:hAnsi="宋体" w:eastAsia="宋体" w:cs="宋体"/>
                <w:sz w:val="28"/>
                <w:szCs w:val="28"/>
                <w:lang w:val="en-US" w:eastAsia="zh-CN"/>
              </w:rPr>
              <w:t>并提供封面具有CMA标识的检测机构出具的检验报告</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exac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使用环境</w:t>
            </w:r>
          </w:p>
        </w:tc>
        <w:tc>
          <w:tcPr>
            <w:tcW w:w="6512" w:type="dxa"/>
            <w:vAlign w:val="top"/>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工作温度范围 -10~45℃，可满足冬天室外操作，可在温度35℃时，80%相对湿度下正常工作，满足连续阴雨天操作</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行车速度</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3～7km/h，行车速度和倒车速度可调节；</w:t>
            </w:r>
            <w:r>
              <w:rPr>
                <w:rFonts w:hint="eastAsia" w:ascii="宋体" w:hAnsi="宋体" w:eastAsia="宋体" w:cs="宋体"/>
                <w:sz w:val="28"/>
                <w:szCs w:val="28"/>
                <w:lang w:val="en-US" w:eastAsia="zh-CN"/>
              </w:rPr>
              <w:t>（提供封面具有CMA标识的检测机构出具的检验报告）</w:t>
            </w:r>
          </w:p>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电量显示</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医废APP中实时显示电量百分比；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供电电池</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电池容量≥24V、45AH铅酸电池或对应容量的锂离子电池；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刹车方式</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主动刹车（电磁刹车）；</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推行功能</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电量不足时，释放电机手动开关，可切换手把推行键；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trPr>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★单包收集时间</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3包平均时间2秒-4秒； </w:t>
            </w:r>
          </w:p>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打印机功能</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可实现57*40mm背胶热敏打印机打印，可实现交接回单直接打印；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可靠性</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应能保证车辆长时间行驶过程的可靠性，通过了频率范围为10Hz～55Hz～10Hz,振幅1.5mm,扫描速率1oct/min，持续3个循环周期的振动实验</w:t>
            </w:r>
            <w:r>
              <w:rPr>
                <w:rFonts w:hint="eastAsia" w:ascii="宋体" w:hAnsi="宋体" w:eastAsia="宋体" w:cs="宋体"/>
                <w:sz w:val="28"/>
                <w:szCs w:val="28"/>
                <w:lang w:val="en-US" w:eastAsia="zh-CN"/>
              </w:rPr>
              <w:t>（提供封面具有CMA标识的检测机构出具的检验报告）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耐腐蚀性</w:t>
            </w:r>
          </w:p>
        </w:tc>
        <w:tc>
          <w:tcPr>
            <w:tcW w:w="6512" w:type="dxa"/>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对车辆使用过程中，长时间受环境水汽、消毒剂等导致腐蚀，需有一定耐受性，通过了在盐溶液浓度达5%，PH值6.5～7.2，温度35℃的12小时以上的盐雾试验，外观应无凹洼腐蚀、裂纹、气泡等现象；（提供封面具有CMA标识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top"/>
          </w:tcPr>
          <w:p>
            <w:pPr>
              <w:spacing w:line="360" w:lineRule="auto"/>
              <w:ind w:firstLine="560" w:firstLineChars="200"/>
              <w:rPr>
                <w:rFonts w:hint="eastAsia" w:ascii="宋体" w:hAnsi="宋体" w:eastAsia="宋体" w:cs="宋体"/>
                <w:sz w:val="28"/>
                <w:szCs w:val="28"/>
              </w:rPr>
            </w:pPr>
          </w:p>
        </w:tc>
        <w:tc>
          <w:tcPr>
            <w:tcW w:w="1731" w:type="dxa"/>
            <w:vAlign w:val="top"/>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防水防尘等级</w:t>
            </w:r>
          </w:p>
        </w:tc>
        <w:tc>
          <w:tcPr>
            <w:tcW w:w="6512" w:type="dxa"/>
            <w:vAlign w:val="top"/>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IP45及以上；（提供封面具有CMA标识的检测机构出具的检验报告）</w:t>
            </w: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注：除实质性要求外，其中标注“</w:t>
      </w:r>
      <w:r>
        <w:rPr>
          <w:rFonts w:hint="eastAsia" w:ascii="宋体" w:hAnsi="宋体" w:eastAsia="宋体" w:cs="宋体"/>
          <w:sz w:val="28"/>
          <w:szCs w:val="28"/>
          <w:lang w:val="en-US" w:eastAsia="zh-CN"/>
        </w:rPr>
        <w:t>★</w:t>
      </w:r>
      <w:r>
        <w:rPr>
          <w:rFonts w:hint="eastAsia" w:ascii="宋体" w:hAnsi="宋体" w:eastAsia="宋体" w:cs="宋体"/>
          <w:sz w:val="28"/>
          <w:szCs w:val="28"/>
        </w:rPr>
        <w:t>”号的为重要技术参数，若有负偏离，仅作扣分处理。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四.总体商务、服务要求及履约主要条款（实质性要求）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1.交货要求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（1）交货时间：自合同签订之日起30个工作日内，按要求完成全部安装调试、验收合格后交付使用，并与四川省卫生监督综合在线监管软件平台实现完全对接。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（2）交货地点：采购人指定地点。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2.付款方式：项目经采购方验收合格后，</w:t>
      </w:r>
      <w:r>
        <w:rPr>
          <w:rFonts w:hint="eastAsia" w:ascii="宋体" w:hAnsi="宋体" w:eastAsia="宋体" w:cs="宋体"/>
          <w:sz w:val="28"/>
          <w:szCs w:val="28"/>
          <w:lang w:val="en-US" w:eastAsia="zh-CN"/>
        </w:rPr>
        <w:t>15个工作日内</w:t>
      </w:r>
      <w:r>
        <w:rPr>
          <w:rFonts w:hint="eastAsia" w:ascii="宋体" w:hAnsi="宋体" w:eastAsia="宋体" w:cs="宋体"/>
          <w:sz w:val="28"/>
          <w:szCs w:val="28"/>
        </w:rPr>
        <w:t>支付合同金额的</w:t>
      </w:r>
      <w:r>
        <w:rPr>
          <w:rFonts w:hint="eastAsia" w:ascii="宋体" w:hAnsi="宋体" w:eastAsia="宋体" w:cs="宋体"/>
          <w:sz w:val="28"/>
          <w:szCs w:val="28"/>
          <w:lang w:val="en-US" w:eastAsia="zh-CN"/>
        </w:rPr>
        <w:t>100</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3.售后服务要求：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（1）产品在质保期内，供应商对所提供的货物进行免费维修维护，供应商技术服务人员的一切费用自理。因维修所耽误使用物品时间应顺延质保时间，按每耽误1天顺延20天计。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（2）质保期内出现质量问题，供应商在接到采购人通知后8小时内响应到场，24小时内完成维修或更换。，并承担修理调换的费用。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在验收期或质保期内，如果货物的数量、规格、质量或性能与合同和响应文件不符，或证实货物是有缺陷的，包括潜在的缺陷或使用不符合要求的材料等，采购人有权要求成交供应商退货或采取相应补救措施。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（4）供应商应提供现场技术培训，保证使用人员正常操作产品的各种功能。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（5）供应商须指派专人负责与采购人联系售后服务事宜。</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4.验收标准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（1）货物安装调试完毕后 10 日内验收。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验收标准：按国家有关规定以及磋商文件的质量要求和技术指标、响应文件及承诺与合同约定标准进行验收；采购人及供应商双方如对质量要求和技术指标的约定标准有相互抵触或异议的事项，由采购人在磋商文件、响应文件中按质量要求和技术指标比较优胜的原则确定该项的约定标准进行验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验收时如发现所交付的货物有短装、次品、损坏或其它不符合标准及合同规定之情形者，采购人应做出详尽的现场记录，或由采购人及供应商双方签署备忘录，此现场记录或备忘录可用作补充、缺失和更换损坏部件的有效证据，由此产生的时间延误与有关费用由供应商承担，验收期限相应顺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（4）如质量验收合格，双方签署质量验收报告。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（5）货物安装完成后10日内，采购人无故不进行验收工作并已使用货物的，视同已送货/安装调试完成并验收合格。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（6）供应商应将所提供货物的装箱清单、配件、随机工具、用户使用手册等资料交付给采购人；供应商不能完整交付货物及本款规定的单证和工具的，必须负责补齐，否则视为未按合同约定交货。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（7）如同一货物、同一质量问题经供应商三次维修仍不能达到合同约定的质量标准，采购人有权退货，并视作供应商不能交付货物而须支付违约赔偿金给采购人，采购人还可依法追究供应商的违约责任。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五．综合评分明细表</w:t>
      </w:r>
    </w:p>
    <w:tbl>
      <w:tblPr>
        <w:tblStyle w:val="11"/>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57"/>
        <w:gridCol w:w="1341"/>
        <w:gridCol w:w="3991"/>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序</w:t>
            </w:r>
            <w:r>
              <w:rPr>
                <w:rFonts w:hint="eastAsia" w:ascii="宋体" w:hAnsi="宋体" w:eastAsia="宋体" w:cs="宋体"/>
                <w:sz w:val="28"/>
                <w:szCs w:val="28"/>
              </w:rPr>
              <w:t>号</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评分因素及权重</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分　值</w:t>
            </w:r>
          </w:p>
        </w:tc>
        <w:tc>
          <w:tcPr>
            <w:tcW w:w="3991"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评分标准</w:t>
            </w:r>
          </w:p>
        </w:tc>
        <w:tc>
          <w:tcPr>
            <w:tcW w:w="2231"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1</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报价</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满足比选文件要求且响应价格最低的响应报价为基准价，其价格分为满分。其他比选申请人的价格分统一按照下列公式计算：报价得分=(基准价／报价)* </w:t>
            </w:r>
            <w:r>
              <w:rPr>
                <w:rFonts w:hint="eastAsia" w:ascii="宋体" w:hAnsi="宋体" w:eastAsia="宋体" w:cs="宋体"/>
                <w:sz w:val="28"/>
                <w:szCs w:val="28"/>
                <w:lang w:val="en-US" w:eastAsia="zh-CN"/>
              </w:rPr>
              <w:t>20</w:t>
            </w:r>
            <w:r>
              <w:rPr>
                <w:rFonts w:hint="eastAsia" w:ascii="宋体" w:hAnsi="宋体" w:eastAsia="宋体" w:cs="宋体"/>
                <w:sz w:val="28"/>
                <w:szCs w:val="28"/>
              </w:rPr>
              <w:t>%*100</w:t>
            </w:r>
          </w:p>
        </w:tc>
        <w:tc>
          <w:tcPr>
            <w:tcW w:w="2231" w:type="dxa"/>
            <w:vAlign w:val="center"/>
          </w:tcPr>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2</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技术参数</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根据投标单位提供的设备性能、技术指标和系统功能要求进行评定，全部满足招标文件要求得</w:t>
            </w:r>
            <w:r>
              <w:rPr>
                <w:rFonts w:hint="eastAsia" w:ascii="宋体" w:hAnsi="宋体" w:eastAsia="宋体" w:cs="宋体"/>
                <w:sz w:val="28"/>
                <w:szCs w:val="28"/>
                <w:lang w:val="en-US" w:eastAsia="zh-CN"/>
              </w:rPr>
              <w:t>3</w:t>
            </w:r>
            <w:r>
              <w:rPr>
                <w:rFonts w:hint="eastAsia" w:ascii="宋体" w:hAnsi="宋体" w:eastAsia="宋体" w:cs="宋体"/>
                <w:sz w:val="28"/>
                <w:szCs w:val="28"/>
              </w:rPr>
              <w:t>0分，打“</w:t>
            </w:r>
            <w:r>
              <w:rPr>
                <w:rFonts w:hint="eastAsia" w:ascii="宋体" w:hAnsi="宋体" w:eastAsia="宋体" w:cs="宋体"/>
                <w:sz w:val="28"/>
                <w:szCs w:val="28"/>
                <w:lang w:val="en-US" w:eastAsia="zh-CN"/>
              </w:rPr>
              <w:t>★</w:t>
            </w:r>
            <w:r>
              <w:rPr>
                <w:rFonts w:hint="eastAsia" w:ascii="宋体" w:hAnsi="宋体" w:eastAsia="宋体" w:cs="宋体"/>
                <w:sz w:val="28"/>
                <w:szCs w:val="28"/>
              </w:rPr>
              <w:t>”号的指标每有一项负偏离的扣</w:t>
            </w:r>
            <w:r>
              <w:rPr>
                <w:rFonts w:hint="eastAsia" w:ascii="宋体" w:hAnsi="宋体" w:eastAsia="宋体" w:cs="宋体"/>
                <w:sz w:val="28"/>
                <w:szCs w:val="28"/>
                <w:lang w:val="en-US" w:eastAsia="zh-CN"/>
              </w:rPr>
              <w:t>2</w:t>
            </w:r>
            <w:r>
              <w:rPr>
                <w:rFonts w:hint="eastAsia" w:ascii="宋体" w:hAnsi="宋体" w:eastAsia="宋体" w:cs="宋体"/>
                <w:sz w:val="28"/>
                <w:szCs w:val="28"/>
              </w:rPr>
              <w:t>分，其他一般指标负偏离的每有一项扣</w:t>
            </w:r>
            <w:r>
              <w:rPr>
                <w:rFonts w:hint="eastAsia" w:ascii="宋体" w:hAnsi="宋体" w:eastAsia="宋体" w:cs="宋体"/>
                <w:sz w:val="28"/>
                <w:szCs w:val="28"/>
                <w:lang w:val="en-US" w:eastAsia="zh-CN"/>
              </w:rPr>
              <w:t>1</w:t>
            </w:r>
            <w:r>
              <w:rPr>
                <w:rFonts w:hint="eastAsia" w:ascii="宋体" w:hAnsi="宋体" w:eastAsia="宋体" w:cs="宋体"/>
                <w:sz w:val="28"/>
                <w:szCs w:val="28"/>
              </w:rPr>
              <w:t>分，扣完为止。</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1、按技术参数要求提供相关证明材料（复印件加盖鲜章）或软件演示视频演示；</w:t>
            </w:r>
          </w:p>
          <w:p>
            <w:pPr>
              <w:spacing w:line="360" w:lineRule="auto"/>
              <w:rPr>
                <w:rFonts w:hint="eastAsia" w:ascii="宋体" w:hAnsi="宋体" w:eastAsia="宋体" w:cs="宋体"/>
                <w:sz w:val="28"/>
                <w:szCs w:val="28"/>
              </w:rPr>
            </w:pPr>
            <w:r>
              <w:rPr>
                <w:rFonts w:hint="eastAsia" w:ascii="宋体" w:hAnsi="宋体" w:eastAsia="宋体" w:cs="宋体"/>
                <w:sz w:val="28"/>
                <w:szCs w:val="28"/>
              </w:rPr>
              <w:t>2、未提供证明材料或提供的材料不足以证明其响应技术参数要求视为不满足；</w:t>
            </w:r>
          </w:p>
          <w:p>
            <w:pPr>
              <w:spacing w:line="360" w:lineRule="auto"/>
              <w:rPr>
                <w:rFonts w:hint="eastAsia" w:ascii="宋体" w:hAnsi="宋体" w:eastAsia="宋体" w:cs="宋体"/>
                <w:sz w:val="28"/>
                <w:szCs w:val="28"/>
              </w:rPr>
            </w:pPr>
            <w:r>
              <w:rPr>
                <w:rFonts w:hint="eastAsia" w:ascii="宋体" w:hAnsi="宋体" w:eastAsia="宋体" w:cs="宋体"/>
                <w:sz w:val="28"/>
                <w:szCs w:val="28"/>
              </w:rPr>
              <w:t>3、未提供演示或演示的内容不能证明其响应技术参数要求视为不满足。</w:t>
            </w:r>
          </w:p>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3</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服务方案</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技术方案最为科学合理、针对本项目便于实施性最强、全面性最高、最具有先进性的得</w:t>
            </w:r>
            <w:r>
              <w:rPr>
                <w:rFonts w:hint="eastAsia" w:ascii="宋体" w:hAnsi="宋体" w:eastAsia="宋体" w:cs="宋体"/>
                <w:sz w:val="28"/>
                <w:szCs w:val="28"/>
                <w:lang w:val="en-US" w:eastAsia="zh-CN"/>
              </w:rPr>
              <w:t>20</w:t>
            </w:r>
            <w:r>
              <w:rPr>
                <w:rFonts w:hint="eastAsia" w:ascii="宋体" w:hAnsi="宋体" w:eastAsia="宋体" w:cs="宋体"/>
                <w:sz w:val="28"/>
                <w:szCs w:val="28"/>
              </w:rPr>
              <w:t>分;</w:t>
            </w:r>
          </w:p>
          <w:p>
            <w:pPr>
              <w:spacing w:line="360" w:lineRule="auto"/>
              <w:rPr>
                <w:rFonts w:hint="eastAsia" w:ascii="宋体" w:hAnsi="宋体" w:eastAsia="宋体" w:cs="宋体"/>
                <w:sz w:val="28"/>
                <w:szCs w:val="28"/>
              </w:rPr>
            </w:pPr>
            <w:r>
              <w:rPr>
                <w:rFonts w:hint="eastAsia" w:ascii="宋体" w:hAnsi="宋体" w:eastAsia="宋体" w:cs="宋体"/>
                <w:sz w:val="28"/>
                <w:szCs w:val="28"/>
              </w:rPr>
              <w:t>技术方案较为科学合理、针对本项目便于实施性较强、全面性较高、较具有先进性的得</w:t>
            </w:r>
            <w:r>
              <w:rPr>
                <w:rFonts w:hint="eastAsia" w:ascii="宋体" w:hAnsi="宋体" w:eastAsia="宋体" w:cs="宋体"/>
                <w:sz w:val="28"/>
                <w:szCs w:val="28"/>
                <w:lang w:val="en-US" w:eastAsia="zh-CN"/>
              </w:rPr>
              <w:t>15</w:t>
            </w:r>
            <w:r>
              <w:rPr>
                <w:rFonts w:hint="eastAsia" w:ascii="宋体" w:hAnsi="宋体" w:eastAsia="宋体" w:cs="宋体"/>
                <w:sz w:val="28"/>
                <w:szCs w:val="28"/>
              </w:rPr>
              <w:t>分;</w:t>
            </w:r>
          </w:p>
          <w:p>
            <w:pPr>
              <w:spacing w:line="360" w:lineRule="auto"/>
              <w:rPr>
                <w:rFonts w:hint="eastAsia" w:ascii="宋体" w:hAnsi="宋体" w:eastAsia="宋体" w:cs="宋体"/>
                <w:sz w:val="28"/>
                <w:szCs w:val="28"/>
              </w:rPr>
            </w:pPr>
            <w:r>
              <w:rPr>
                <w:rFonts w:hint="eastAsia" w:ascii="宋体" w:hAnsi="宋体" w:eastAsia="宋体" w:cs="宋体"/>
                <w:sz w:val="28"/>
                <w:szCs w:val="28"/>
              </w:rPr>
              <w:t>技术方案科学合理性一般、针对本项目便于实施性一般、全面性一般、先进性一般的得</w:t>
            </w:r>
            <w:r>
              <w:rPr>
                <w:rFonts w:hint="eastAsia" w:ascii="宋体" w:hAnsi="宋体" w:eastAsia="宋体" w:cs="宋体"/>
                <w:sz w:val="28"/>
                <w:szCs w:val="28"/>
                <w:lang w:val="en-US" w:eastAsia="zh-CN"/>
              </w:rPr>
              <w:t>10</w:t>
            </w:r>
            <w:r>
              <w:rPr>
                <w:rFonts w:hint="eastAsia" w:ascii="宋体" w:hAnsi="宋体" w:eastAsia="宋体" w:cs="宋体"/>
                <w:sz w:val="28"/>
                <w:szCs w:val="28"/>
              </w:rPr>
              <w:t>分;</w:t>
            </w:r>
          </w:p>
          <w:p>
            <w:pPr>
              <w:spacing w:line="360" w:lineRule="auto"/>
              <w:rPr>
                <w:rFonts w:hint="eastAsia" w:ascii="宋体" w:hAnsi="宋体" w:eastAsia="宋体" w:cs="宋体"/>
                <w:sz w:val="28"/>
                <w:szCs w:val="28"/>
              </w:rPr>
            </w:pPr>
            <w:r>
              <w:rPr>
                <w:rFonts w:hint="eastAsia" w:ascii="宋体" w:hAnsi="宋体" w:eastAsia="宋体" w:cs="宋体"/>
                <w:sz w:val="28"/>
                <w:szCs w:val="28"/>
              </w:rPr>
              <w:t>技术方案科学合理性不完善、针对本项目便于实施性不够适用、全面性较差、先进性较差的得</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4</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产品资质和知识产权</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医疗废物信息系统生产厂商具有医疗废物在线监测系统的软件著作权证书，得3分；</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提供证明材料复印件（未提供不得分）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5</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业绩</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4分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投标人具有类似本次项目业绩每提供一个加1分，最高得4分。提供中标通知书或合同复印件并提供对应医疗机构在四川卫生监督综合在线监管系统平台的运行截图。</w:t>
            </w:r>
          </w:p>
          <w:p>
            <w:pPr>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zh-CN"/>
              </w:rPr>
              <w:t>类似业绩指：用户单位为医疗废物在线监测设备已接入四川卫生监督综合在线监管系统平台的三级医疗机构。</w:t>
            </w:r>
            <w:r>
              <w:rPr>
                <w:rFonts w:hint="eastAsia" w:ascii="宋体" w:hAnsi="宋体" w:eastAsia="宋体" w:cs="宋体"/>
                <w:sz w:val="28"/>
                <w:szCs w:val="28"/>
              </w:rPr>
              <w:t>）</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提供证明材料复印件（未提供不得分）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6</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企业信誉和实力</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6分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①设备制造厂家具有有效期内</w:t>
            </w:r>
            <w:r>
              <w:rPr>
                <w:rFonts w:hint="eastAsia" w:ascii="宋体" w:hAnsi="宋体" w:eastAsia="宋体" w:cs="宋体"/>
                <w:sz w:val="28"/>
                <w:szCs w:val="28"/>
                <w:lang w:eastAsia="zh-CN"/>
              </w:rPr>
              <w:t>软件企业证书</w:t>
            </w:r>
            <w:r>
              <w:rPr>
                <w:rFonts w:hint="eastAsia" w:ascii="宋体" w:hAnsi="宋体" w:eastAsia="宋体" w:cs="宋体"/>
                <w:sz w:val="28"/>
                <w:szCs w:val="28"/>
              </w:rPr>
              <w:t>，得1分。</w:t>
            </w:r>
          </w:p>
          <w:p>
            <w:pPr>
              <w:spacing w:line="360" w:lineRule="auto"/>
              <w:rPr>
                <w:rFonts w:hint="eastAsia" w:ascii="宋体" w:hAnsi="宋体" w:eastAsia="宋体" w:cs="宋体"/>
                <w:sz w:val="28"/>
                <w:szCs w:val="28"/>
              </w:rPr>
            </w:pPr>
            <w:r>
              <w:rPr>
                <w:rFonts w:hint="eastAsia" w:ascii="宋体" w:hAnsi="宋体" w:eastAsia="宋体" w:cs="宋体"/>
                <w:sz w:val="28"/>
                <w:szCs w:val="28"/>
              </w:rPr>
              <w:t>②设备制造厂家具有质量管理体系认证证书的，得1分。</w:t>
            </w:r>
          </w:p>
          <w:p>
            <w:pPr>
              <w:spacing w:line="360" w:lineRule="auto"/>
              <w:rPr>
                <w:rFonts w:hint="eastAsia" w:ascii="宋体" w:hAnsi="宋体" w:eastAsia="宋体" w:cs="宋体"/>
                <w:sz w:val="28"/>
                <w:szCs w:val="28"/>
              </w:rPr>
            </w:pPr>
            <w:r>
              <w:rPr>
                <w:rFonts w:hint="eastAsia" w:ascii="宋体" w:hAnsi="宋体" w:eastAsia="宋体" w:cs="宋体"/>
                <w:sz w:val="28"/>
                <w:szCs w:val="28"/>
              </w:rPr>
              <w:t>③设备制造厂家具有有效期内</w:t>
            </w:r>
            <w:r>
              <w:rPr>
                <w:rFonts w:hint="eastAsia" w:ascii="宋体" w:hAnsi="宋体" w:eastAsia="宋体" w:cs="宋体"/>
                <w:sz w:val="28"/>
                <w:szCs w:val="28"/>
                <w:lang w:eastAsia="zh-CN"/>
              </w:rPr>
              <w:t>软件产品证书</w:t>
            </w:r>
            <w:r>
              <w:rPr>
                <w:rFonts w:hint="eastAsia" w:ascii="宋体" w:hAnsi="宋体" w:eastAsia="宋体" w:cs="宋体"/>
                <w:sz w:val="28"/>
                <w:szCs w:val="28"/>
              </w:rPr>
              <w:t>，得1分。</w:t>
            </w:r>
          </w:p>
          <w:p>
            <w:pPr>
              <w:spacing w:line="360" w:lineRule="auto"/>
              <w:rPr>
                <w:rFonts w:hint="eastAsia" w:ascii="宋体" w:hAnsi="宋体" w:eastAsia="宋体" w:cs="宋体"/>
                <w:sz w:val="28"/>
                <w:szCs w:val="28"/>
              </w:rPr>
            </w:pPr>
            <w:r>
              <w:rPr>
                <w:rFonts w:hint="eastAsia" w:ascii="宋体" w:hAnsi="宋体" w:eastAsia="宋体" w:cs="宋体"/>
                <w:sz w:val="28"/>
                <w:szCs w:val="28"/>
              </w:rPr>
              <w:t>④设备制造厂家为本项目配备了专业管理人员，项目负责人和技术责任人具有项目管理相关证书（如项目经理，工程师等证书），提供近3个月社保证明，每提供一个得1分，最高得3分。</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提供证明材料复印件（未提供不得分）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7</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系统安全性</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设备制造厂家具有CMMI三级及以上认证资质、国家云计算服务能力标准符合性认证ITSS三级及以上资质，提供一个得3分，最高得</w:t>
            </w:r>
            <w:r>
              <w:rPr>
                <w:rFonts w:hint="eastAsia" w:ascii="宋体" w:hAnsi="宋体" w:eastAsia="宋体" w:cs="宋体"/>
                <w:sz w:val="28"/>
                <w:szCs w:val="28"/>
                <w:lang w:val="en-US" w:eastAsia="zh-CN"/>
              </w:rPr>
              <w:t>6</w:t>
            </w:r>
            <w:r>
              <w:rPr>
                <w:rFonts w:hint="eastAsia" w:ascii="宋体" w:hAnsi="宋体" w:eastAsia="宋体" w:cs="宋体"/>
                <w:sz w:val="28"/>
                <w:szCs w:val="28"/>
              </w:rPr>
              <w:t>分。</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提供证明材料复印件（原件开标现场核查，未提供不得分）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8</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售后服务保障</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根据设备制造厂家提供的售后服务方案进行综合评审，售后服务响应时间优于招标文件、便捷程度高、方案实用性好、服务团队及技术支持保障能力强的得</w:t>
            </w:r>
            <w:r>
              <w:rPr>
                <w:rFonts w:hint="eastAsia" w:ascii="宋体" w:hAnsi="宋体" w:eastAsia="宋体" w:cs="宋体"/>
                <w:sz w:val="28"/>
                <w:szCs w:val="28"/>
                <w:lang w:val="en-US" w:eastAsia="zh-CN"/>
              </w:rPr>
              <w:t>9</w:t>
            </w:r>
            <w:r>
              <w:rPr>
                <w:rFonts w:hint="eastAsia" w:ascii="宋体" w:hAnsi="宋体" w:eastAsia="宋体" w:cs="宋体"/>
                <w:sz w:val="28"/>
                <w:szCs w:val="28"/>
              </w:rPr>
              <w:t>分，售后服务便捷程度较高、方案实用性较好、服务团队及技术支持保障能力较强的得</w:t>
            </w:r>
            <w:r>
              <w:rPr>
                <w:rFonts w:hint="eastAsia" w:ascii="宋体" w:hAnsi="宋体" w:eastAsia="宋体" w:cs="宋体"/>
                <w:sz w:val="28"/>
                <w:szCs w:val="28"/>
                <w:lang w:val="en-US" w:eastAsia="zh-CN"/>
              </w:rPr>
              <w:t>5</w:t>
            </w:r>
            <w:r>
              <w:rPr>
                <w:rFonts w:hint="eastAsia" w:ascii="宋体" w:hAnsi="宋体" w:eastAsia="宋体" w:cs="宋体"/>
                <w:sz w:val="28"/>
                <w:szCs w:val="28"/>
              </w:rPr>
              <w:t>分，售后服务便捷程度低、方案实用性差、服务团队及技术支持保障能力差的得1分。</w:t>
            </w:r>
          </w:p>
        </w:tc>
        <w:tc>
          <w:tcPr>
            <w:tcW w:w="2231" w:type="dxa"/>
            <w:vAlign w:val="center"/>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9" w:type="dxa"/>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p>
        </w:tc>
        <w:tc>
          <w:tcPr>
            <w:tcW w:w="1357"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比选申请文件的规范性</w:t>
            </w:r>
          </w:p>
        </w:tc>
        <w:tc>
          <w:tcPr>
            <w:tcW w:w="134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2分</w:t>
            </w:r>
          </w:p>
        </w:tc>
        <w:tc>
          <w:tcPr>
            <w:tcW w:w="399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比选申请文件文件制作规范，没有细微偏差情形的得2分；有一项细微偏差扣0.5分，直至该项分值扣完为止。</w:t>
            </w:r>
          </w:p>
        </w:tc>
        <w:tc>
          <w:tcPr>
            <w:tcW w:w="2231" w:type="dxa"/>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w:t>
            </w:r>
          </w:p>
        </w:tc>
      </w:tr>
    </w:tbl>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right="-420" w:rightChars="-200"/>
        <w:jc w:val="left"/>
        <w:textAlignment w:val="auto"/>
        <w:rPr>
          <w:rFonts w:hint="eastAsia" w:ascii="宋体" w:hAnsi="宋体" w:eastAsia="宋体" w:cs="宋体"/>
          <w:b w:val="0"/>
          <w:bCs w:val="0"/>
          <w:color w:val="333333"/>
          <w:kern w:val="0"/>
          <w:sz w:val="28"/>
          <w:szCs w:val="28"/>
        </w:rPr>
      </w:pPr>
      <w:r>
        <w:rPr>
          <w:rFonts w:hint="eastAsia" w:ascii="宋体" w:hAnsi="宋体" w:eastAsia="宋体" w:cs="宋体"/>
          <w:b/>
          <w:bCs/>
          <w:color w:val="333333"/>
          <w:kern w:val="0"/>
          <w:sz w:val="28"/>
          <w:szCs w:val="28"/>
        </w:rPr>
        <w:t>附件</w:t>
      </w:r>
      <w:r>
        <w:rPr>
          <w:rFonts w:hint="eastAsia" w:ascii="宋体" w:hAnsi="宋体" w:eastAsia="宋体" w:cs="宋体"/>
          <w:b/>
          <w:bCs/>
          <w:color w:val="333333"/>
          <w:kern w:val="0"/>
          <w:sz w:val="28"/>
          <w:szCs w:val="28"/>
          <w:lang w:val="en-US" w:eastAsia="zh-CN"/>
        </w:rPr>
        <w:t>2</w:t>
      </w:r>
      <w:r>
        <w:rPr>
          <w:rFonts w:hint="eastAsia" w:ascii="宋体" w:hAnsi="宋体" w:eastAsia="宋体" w:cs="宋体"/>
          <w:b/>
          <w:bCs/>
          <w:color w:val="333333"/>
          <w:kern w:val="0"/>
          <w:sz w:val="28"/>
          <w:szCs w:val="28"/>
        </w:rPr>
        <w:t>：采购文件书装订顺序</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spacing w:val="8"/>
          <w:kern w:val="0"/>
          <w:sz w:val="28"/>
          <w:szCs w:val="28"/>
        </w:rPr>
        <w:t>1、封面（公司、项目、联系人、联系方式）。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spacing w:val="8"/>
          <w:kern w:val="0"/>
          <w:sz w:val="28"/>
          <w:szCs w:val="28"/>
        </w:rPr>
        <w:t>2、目录。</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spacing w:val="8"/>
          <w:kern w:val="0"/>
          <w:sz w:val="28"/>
          <w:szCs w:val="28"/>
        </w:rPr>
        <w:t>3、品目及报价表（格式见附件）。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spacing w:val="8"/>
          <w:kern w:val="0"/>
          <w:sz w:val="28"/>
          <w:szCs w:val="28"/>
          <w:lang w:val="en-US" w:eastAsia="zh-CN"/>
        </w:rPr>
        <w:t>4</w:t>
      </w:r>
      <w:r>
        <w:rPr>
          <w:rFonts w:hint="eastAsia" w:ascii="宋体" w:hAnsi="宋体" w:eastAsia="宋体" w:cs="宋体"/>
          <w:color w:val="333333"/>
          <w:spacing w:val="8"/>
          <w:kern w:val="0"/>
          <w:sz w:val="28"/>
          <w:szCs w:val="28"/>
        </w:rPr>
        <w:t>、企业营业执照</w:t>
      </w:r>
      <w:r>
        <w:rPr>
          <w:rFonts w:hint="eastAsia" w:ascii="宋体" w:hAnsi="宋体" w:eastAsia="宋体" w:cs="宋体"/>
          <w:color w:val="333333"/>
          <w:spacing w:val="8"/>
          <w:kern w:val="0"/>
          <w:sz w:val="28"/>
          <w:szCs w:val="28"/>
          <w:lang w:eastAsia="zh-CN"/>
        </w:rPr>
        <w:t>、</w:t>
      </w:r>
      <w:r>
        <w:rPr>
          <w:rFonts w:hint="eastAsia" w:ascii="宋体" w:hAnsi="宋体" w:eastAsia="宋体" w:cs="宋体"/>
          <w:color w:val="333333"/>
          <w:kern w:val="0"/>
          <w:sz w:val="28"/>
          <w:szCs w:val="28"/>
        </w:rPr>
        <w:t>组织机构代码证、税务登记证</w:t>
      </w:r>
      <w:r>
        <w:rPr>
          <w:rFonts w:hint="eastAsia" w:ascii="宋体" w:hAnsi="宋体" w:eastAsia="宋体" w:cs="宋体"/>
          <w:color w:val="333333"/>
          <w:kern w:val="0"/>
          <w:sz w:val="28"/>
          <w:szCs w:val="28"/>
          <w:lang w:eastAsia="zh-CN"/>
        </w:rPr>
        <w:t>或三证合一</w:t>
      </w:r>
      <w:r>
        <w:rPr>
          <w:rFonts w:hint="eastAsia" w:ascii="宋体" w:hAnsi="宋体" w:eastAsia="宋体" w:cs="宋体"/>
          <w:color w:val="333333"/>
          <w:spacing w:val="8"/>
          <w:kern w:val="0"/>
          <w:sz w:val="28"/>
          <w:szCs w:val="28"/>
        </w:rPr>
        <w:t>（复印件）。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spacing w:val="8"/>
          <w:kern w:val="0"/>
          <w:sz w:val="28"/>
          <w:szCs w:val="28"/>
          <w:lang w:val="en-US" w:eastAsia="zh-CN"/>
        </w:rPr>
        <w:t>8</w:t>
      </w:r>
      <w:r>
        <w:rPr>
          <w:rFonts w:hint="eastAsia" w:ascii="宋体" w:hAnsi="宋体" w:eastAsia="宋体" w:cs="宋体"/>
          <w:color w:val="333333"/>
          <w:spacing w:val="8"/>
          <w:kern w:val="0"/>
          <w:sz w:val="28"/>
          <w:szCs w:val="28"/>
        </w:rPr>
        <w:t>、售后</w:t>
      </w:r>
      <w:r>
        <w:rPr>
          <w:rFonts w:hint="eastAsia" w:ascii="宋体" w:hAnsi="宋体" w:eastAsia="宋体" w:cs="宋体"/>
          <w:color w:val="333333"/>
          <w:kern w:val="0"/>
          <w:sz w:val="28"/>
          <w:szCs w:val="28"/>
        </w:rPr>
        <w:t>服务承诺书</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9</w:t>
      </w:r>
      <w:r>
        <w:rPr>
          <w:rFonts w:hint="eastAsia" w:ascii="宋体" w:hAnsi="宋体" w:eastAsia="宋体" w:cs="宋体"/>
          <w:color w:val="333333"/>
          <w:kern w:val="0"/>
          <w:sz w:val="28"/>
          <w:szCs w:val="28"/>
        </w:rPr>
        <w:t>、</w:t>
      </w:r>
      <w:r>
        <w:rPr>
          <w:rFonts w:hint="eastAsia" w:ascii="宋体" w:hAnsi="宋体" w:eastAsia="宋体" w:cs="宋体"/>
          <w:color w:val="333333"/>
          <w:spacing w:val="8"/>
          <w:kern w:val="0"/>
          <w:sz w:val="28"/>
          <w:szCs w:val="28"/>
        </w:rPr>
        <w:t>封底。</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注：请务必按以上顺序装订资料，如有非中文资料，请同时提供中文翻译件。</w:t>
      </w:r>
    </w:p>
    <w:p>
      <w:pPr>
        <w:pStyle w:val="7"/>
        <w:rPr>
          <w:rFonts w:hint="eastAsia" w:ascii="宋体" w:hAnsi="宋体" w:eastAsia="宋体" w:cs="宋体"/>
          <w:b/>
          <w:bCs/>
          <w:color w:val="333333"/>
          <w:kern w:val="0"/>
          <w:sz w:val="28"/>
          <w:szCs w:val="28"/>
        </w:rPr>
      </w:pPr>
    </w:p>
    <w:p>
      <w:pPr>
        <w:rPr>
          <w:rFonts w:hint="eastAsia" w:ascii="宋体" w:hAnsi="宋体" w:eastAsia="宋体" w:cs="宋体"/>
          <w:sz w:val="28"/>
          <w:szCs w:val="28"/>
        </w:rPr>
      </w:pPr>
    </w:p>
    <w:p>
      <w:pPr>
        <w:pStyle w:val="7"/>
        <w:rPr>
          <w:rFonts w:hint="eastAsia" w:ascii="宋体" w:hAnsi="宋体" w:eastAsia="宋体" w:cs="宋体"/>
          <w:sz w:val="28"/>
          <w:szCs w:val="28"/>
        </w:rPr>
      </w:pPr>
    </w:p>
    <w:p>
      <w:pPr>
        <w:pStyle w:val="8"/>
        <w:rPr>
          <w:rFonts w:hint="eastAsia" w:ascii="宋体" w:hAnsi="宋体" w:eastAsia="宋体" w:cs="宋体"/>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adjustRightIn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报价一览表</w:t>
      </w:r>
    </w:p>
    <w:p>
      <w:pPr>
        <w:jc w:val="center"/>
        <w:rPr>
          <w:rFonts w:hint="eastAsia" w:ascii="宋体" w:hAnsi="宋体" w:eastAsia="宋体" w:cs="宋体"/>
          <w:b/>
          <w:sz w:val="28"/>
          <w:szCs w:val="28"/>
        </w:rPr>
      </w:pPr>
    </w:p>
    <w:tbl>
      <w:tblPr>
        <w:tblStyle w:val="11"/>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单价（万元）</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金额（万元）</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合计</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p>
        </w:tc>
      </w:tr>
    </w:tbl>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注：</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w:t>
      </w:r>
      <w:r>
        <w:rPr>
          <w:rFonts w:hint="eastAsia" w:ascii="宋体" w:hAnsi="宋体" w:eastAsia="宋体" w:cs="宋体"/>
          <w:sz w:val="28"/>
          <w:szCs w:val="28"/>
        </w:rPr>
        <w:t>.“品目及报价表”为多页的，每页均需由法定代表人或授权代表签字并盖投标人印章。</w:t>
      </w:r>
    </w:p>
    <w:p>
      <w:pPr>
        <w:spacing w:line="400" w:lineRule="exact"/>
        <w:ind w:firstLine="48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.“品目及报价表”需单独密封。</w:t>
      </w:r>
    </w:p>
    <w:p>
      <w:pPr>
        <w:adjustRightInd w:val="0"/>
        <w:spacing w:line="400" w:lineRule="exact"/>
        <w:jc w:val="left"/>
        <w:rPr>
          <w:rFonts w:hint="eastAsia" w:ascii="宋体" w:hAnsi="宋体" w:eastAsia="宋体" w:cs="宋体"/>
          <w:sz w:val="28"/>
          <w:szCs w:val="28"/>
        </w:rPr>
      </w:pPr>
      <w:r>
        <w:rPr>
          <w:rFonts w:hint="eastAsia" w:ascii="宋体" w:hAnsi="宋体" w:eastAsia="宋体" w:cs="宋体"/>
          <w:sz w:val="28"/>
          <w:szCs w:val="28"/>
        </w:rPr>
        <w:t xml:space="preserve">    供应商名称（盖章）：        </w:t>
      </w:r>
    </w:p>
    <w:p>
      <w:pPr>
        <w:adjustRightInd w:val="0"/>
        <w:spacing w:line="400" w:lineRule="exact"/>
        <w:jc w:val="left"/>
        <w:rPr>
          <w:rFonts w:hint="eastAsia" w:ascii="宋体" w:hAnsi="宋体" w:eastAsia="宋体" w:cs="宋体"/>
          <w:sz w:val="28"/>
          <w:szCs w:val="28"/>
        </w:rPr>
      </w:pPr>
      <w:r>
        <w:rPr>
          <w:rFonts w:hint="eastAsia" w:ascii="宋体" w:hAnsi="宋体" w:eastAsia="宋体" w:cs="宋体"/>
          <w:sz w:val="28"/>
          <w:szCs w:val="28"/>
        </w:rPr>
        <w:t xml:space="preserve">    法定代表人或授权代表（签字）：                   </w:t>
      </w:r>
      <w:r>
        <w:rPr>
          <w:rFonts w:hint="eastAsia" w:ascii="宋体" w:hAnsi="宋体" w:eastAsia="宋体" w:cs="宋体"/>
          <w:bCs/>
          <w:sz w:val="28"/>
          <w:szCs w:val="28"/>
        </w:rPr>
        <w:t>联系方式：</w:t>
      </w:r>
      <w:r>
        <w:rPr>
          <w:rFonts w:hint="eastAsia" w:ascii="宋体" w:hAnsi="宋体" w:eastAsia="宋体" w:cs="宋体"/>
          <w:bCs/>
          <w:sz w:val="28"/>
          <w:szCs w:val="28"/>
          <w:u w:val="single"/>
        </w:rPr>
        <w:t xml:space="preserve">        </w:t>
      </w:r>
    </w:p>
    <w:p>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日期：</w:t>
      </w:r>
    </w:p>
    <w:p>
      <w:pPr>
        <w:pStyle w:val="8"/>
        <w:rPr>
          <w:rFonts w:hint="eastAsia" w:ascii="宋体" w:hAnsi="宋体" w:eastAsia="宋体" w:cs="宋体"/>
          <w:sz w:val="28"/>
          <w:szCs w:val="28"/>
        </w:rPr>
      </w:pPr>
    </w:p>
    <w:p>
      <w:pPr>
        <w:pStyle w:val="7"/>
        <w:rPr>
          <w:rFonts w:hint="eastAsia" w:ascii="宋体" w:hAnsi="宋体" w:eastAsia="宋体" w:cs="宋体"/>
          <w:bCs/>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用户情况表</w:t>
      </w:r>
    </w:p>
    <w:p>
      <w:pPr>
        <w:jc w:val="center"/>
        <w:rPr>
          <w:rFonts w:hint="eastAsia" w:ascii="宋体" w:hAnsi="宋体" w:eastAsia="宋体" w:cs="宋体"/>
          <w:sz w:val="28"/>
          <w:szCs w:val="28"/>
        </w:rPr>
      </w:pPr>
    </w:p>
    <w:tbl>
      <w:tblPr>
        <w:tblStyle w:val="11"/>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省外省级以上单位用户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用户名称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供货期限</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联系人及联系方式</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省内省级单位用户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省内其他用户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bl>
    <w:p>
      <w:pPr>
        <w:spacing w:line="360" w:lineRule="auto"/>
        <w:rPr>
          <w:rFonts w:hint="eastAsia" w:ascii="宋体" w:hAnsi="宋体" w:eastAsia="宋体" w:cs="宋体"/>
          <w:b/>
          <w:bCs/>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法定代表人或授权代表签字：</w:t>
      </w:r>
    </w:p>
    <w:p>
      <w:pPr>
        <w:spacing w:line="360" w:lineRule="auto"/>
        <w:ind w:firstLine="523" w:firstLineChars="187"/>
        <w:jc w:val="left"/>
        <w:rPr>
          <w:rFonts w:hint="eastAsia" w:ascii="宋体" w:hAnsi="宋体" w:eastAsia="宋体" w:cs="宋体"/>
          <w:b/>
          <w:sz w:val="28"/>
          <w:szCs w:val="28"/>
        </w:rPr>
      </w:pPr>
      <w:r>
        <w:rPr>
          <w:rFonts w:hint="eastAsia" w:ascii="宋体" w:hAnsi="宋体" w:eastAsia="宋体" w:cs="宋体"/>
          <w:sz w:val="28"/>
          <w:szCs w:val="28"/>
        </w:rPr>
        <w:t>日期</w:t>
      </w:r>
      <w:r>
        <w:rPr>
          <w:rFonts w:hint="eastAsia" w:ascii="宋体" w:hAnsi="宋体" w:eastAsia="宋体" w:cs="宋体"/>
          <w:b/>
          <w:sz w:val="28"/>
          <w:szCs w:val="28"/>
        </w:rPr>
        <w:t>:</w:t>
      </w:r>
    </w:p>
    <w:p>
      <w:pPr>
        <w:pStyle w:val="4"/>
        <w:tabs>
          <w:tab w:val="left" w:pos="540"/>
        </w:tabs>
        <w:ind w:left="720" w:hanging="720"/>
        <w:jc w:val="center"/>
        <w:rPr>
          <w:rFonts w:hint="eastAsia" w:ascii="宋体" w:hAnsi="宋体" w:eastAsia="宋体" w:cs="宋体"/>
          <w:b w:val="0"/>
          <w:sz w:val="28"/>
          <w:szCs w:val="28"/>
          <w:lang w:val="zh-CN"/>
        </w:rPr>
      </w:pPr>
      <w:bookmarkStart w:id="2" w:name="_Toc237343703"/>
      <w:bookmarkStart w:id="3" w:name="_Toc95295163"/>
      <w:bookmarkStart w:id="4" w:name="_Toc174767233"/>
    </w:p>
    <w:p>
      <w:pPr>
        <w:pStyle w:val="4"/>
        <w:tabs>
          <w:tab w:val="left" w:pos="540"/>
        </w:tabs>
        <w:ind w:left="720" w:hanging="720"/>
        <w:jc w:val="center"/>
        <w:rPr>
          <w:rFonts w:hint="eastAsia" w:ascii="宋体" w:hAnsi="宋体" w:eastAsia="宋体" w:cs="宋体"/>
          <w:b w:val="0"/>
          <w:sz w:val="28"/>
          <w:szCs w:val="28"/>
          <w:lang w:val="zh-CN"/>
        </w:rPr>
      </w:pPr>
    </w:p>
    <w:p>
      <w:pPr>
        <w:pStyle w:val="4"/>
        <w:tabs>
          <w:tab w:val="left" w:pos="540"/>
        </w:tabs>
        <w:ind w:left="720" w:hanging="720"/>
        <w:jc w:val="center"/>
        <w:rPr>
          <w:rFonts w:hint="eastAsia" w:ascii="宋体" w:hAnsi="宋体" w:eastAsia="宋体" w:cs="宋体"/>
          <w:b w:val="0"/>
          <w:sz w:val="28"/>
          <w:szCs w:val="28"/>
          <w:lang w:val="zh-CN"/>
        </w:rPr>
      </w:pPr>
    </w:p>
    <w:p>
      <w:pPr>
        <w:pStyle w:val="4"/>
        <w:tabs>
          <w:tab w:val="left" w:pos="540"/>
        </w:tabs>
        <w:jc w:val="center"/>
        <w:rPr>
          <w:rFonts w:hint="eastAsia" w:ascii="宋体" w:hAnsi="宋体" w:eastAsia="宋体" w:cs="宋体"/>
          <w:b w:val="0"/>
          <w:sz w:val="28"/>
          <w:szCs w:val="28"/>
          <w:lang w:val="zh-CN"/>
        </w:rPr>
      </w:pPr>
      <w:r>
        <w:rPr>
          <w:rFonts w:hint="eastAsia" w:ascii="宋体" w:hAnsi="宋体" w:eastAsia="宋体" w:cs="宋体"/>
          <w:b w:val="0"/>
          <w:sz w:val="28"/>
          <w:szCs w:val="28"/>
          <w:lang w:val="zh-CN"/>
        </w:rPr>
        <w:t>法定代表人身份授权书</w:t>
      </w:r>
    </w:p>
    <w:p>
      <w:pPr>
        <w:tabs>
          <w:tab w:val="left" w:pos="6300"/>
        </w:tabs>
        <w:spacing w:line="360" w:lineRule="auto"/>
        <w:rPr>
          <w:rFonts w:hint="eastAsia" w:ascii="宋体" w:hAnsi="宋体" w:eastAsia="宋体" w:cs="宋体"/>
          <w:sz w:val="28"/>
          <w:szCs w:val="28"/>
          <w:lang w:val="zh-CN"/>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（采购单位名称）：</w:t>
      </w:r>
    </w:p>
    <w:p>
      <w:pPr>
        <w:tabs>
          <w:tab w:val="left" w:pos="720"/>
          <w:tab w:val="left" w:pos="6300"/>
        </w:tabs>
        <w:spacing w:line="360" w:lineRule="auto"/>
        <w:ind w:firstLine="573"/>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本授权声明：</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p>
    <w:p>
      <w:pPr>
        <w:tabs>
          <w:tab w:val="left" w:pos="720"/>
          <w:tab w:val="left" w:pos="6300"/>
        </w:tabs>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（法定代表人姓名、职务）授权</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（被授权人姓名、职务）为我方</w:t>
      </w:r>
      <w:r>
        <w:rPr>
          <w:rFonts w:hint="eastAsia" w:ascii="宋体" w:hAnsi="宋体" w:eastAsia="宋体" w:cs="宋体"/>
          <w:sz w:val="28"/>
          <w:szCs w:val="28"/>
          <w:u w:val="single"/>
          <w:lang w:val="zh-CN"/>
        </w:rPr>
        <w:t xml:space="preserve"> “                                          ”</w:t>
      </w:r>
      <w:r>
        <w:rPr>
          <w:rFonts w:hint="eastAsia" w:ascii="宋体" w:hAnsi="宋体" w:eastAsia="宋体" w:cs="宋体"/>
          <w:sz w:val="28"/>
          <w:szCs w:val="28"/>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8"/>
          <w:szCs w:val="28"/>
        </w:rPr>
      </w:pPr>
      <w:r>
        <w:rPr>
          <w:rFonts w:hint="eastAsia" w:ascii="宋体" w:hAnsi="宋体" w:eastAsia="宋体" w:cs="宋体"/>
          <w:sz w:val="28"/>
          <w:szCs w:val="28"/>
        </w:rPr>
        <w:t>特此声明。</w:t>
      </w:r>
    </w:p>
    <w:p>
      <w:pPr>
        <w:tabs>
          <w:tab w:val="left" w:pos="6300"/>
        </w:tabs>
        <w:spacing w:line="360" w:lineRule="auto"/>
        <w:ind w:firstLine="573"/>
        <w:rPr>
          <w:rFonts w:hint="eastAsia" w:ascii="宋体" w:hAnsi="宋体" w:eastAsia="宋体" w:cs="宋体"/>
          <w:sz w:val="28"/>
          <w:szCs w:val="28"/>
        </w:rPr>
      </w:pPr>
      <w:r>
        <w:rPr>
          <w:rFonts w:hint="eastAsia" w:ascii="宋体" w:hAnsi="宋体" w:eastAsia="宋体" w:cs="宋体"/>
          <w:sz w:val="28"/>
          <w:szCs w:val="28"/>
        </w:rPr>
        <w:t>法定代表人签字：</w:t>
      </w:r>
    </w:p>
    <w:p>
      <w:pPr>
        <w:tabs>
          <w:tab w:val="left" w:pos="6300"/>
        </w:tabs>
        <w:spacing w:line="360" w:lineRule="auto"/>
        <w:ind w:firstLine="573"/>
        <w:rPr>
          <w:rFonts w:hint="eastAsia" w:ascii="宋体" w:hAnsi="宋体" w:eastAsia="宋体" w:cs="宋体"/>
          <w:sz w:val="28"/>
          <w:szCs w:val="28"/>
        </w:rPr>
      </w:pPr>
      <w:r>
        <w:rPr>
          <w:rFonts w:hint="eastAsia" w:ascii="宋体" w:hAnsi="宋体" w:eastAsia="宋体" w:cs="宋体"/>
          <w:sz w:val="28"/>
          <w:szCs w:val="28"/>
        </w:rPr>
        <w:t>授权代表签字：</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（加盖公章）</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日期：</w:t>
      </w:r>
    </w:p>
    <w:p>
      <w:pPr>
        <w:numPr>
          <w:ilvl w:val="0"/>
          <w:numId w:val="1"/>
        </w:numPr>
        <w:tabs>
          <w:tab w:val="left" w:pos="6300"/>
        </w:tabs>
        <w:spacing w:after="0" w:line="360" w:lineRule="auto"/>
        <w:rPr>
          <w:rFonts w:hint="eastAsia" w:ascii="宋体" w:hAnsi="宋体" w:eastAsia="宋体" w:cs="宋体"/>
          <w:sz w:val="28"/>
          <w:szCs w:val="28"/>
        </w:rPr>
      </w:pPr>
      <w:r>
        <w:rPr>
          <w:rFonts w:hint="eastAsia" w:ascii="宋体" w:hAnsi="宋体" w:eastAsia="宋体" w:cs="宋体"/>
          <w:sz w:val="28"/>
          <w:szCs w:val="28"/>
        </w:rPr>
        <w:t>说明：上述证明文件附有法定代表人、被授权代表身份证复印件（加盖公章）时才能生效。</w:t>
      </w:r>
      <w:bookmarkEnd w:id="2"/>
      <w:bookmarkEnd w:id="3"/>
      <w:bookmarkEnd w:id="4"/>
    </w:p>
    <w:p>
      <w:pPr>
        <w:tabs>
          <w:tab w:val="left" w:pos="6645"/>
        </w:tabs>
        <w:spacing w:line="360" w:lineRule="auto"/>
        <w:rPr>
          <w:rFonts w:hint="eastAsia" w:ascii="宋体" w:hAnsi="宋体" w:eastAsia="宋体" w:cs="宋体"/>
          <w:b/>
          <w:bCs/>
          <w:sz w:val="28"/>
          <w:szCs w:val="28"/>
        </w:rPr>
      </w:pPr>
    </w:p>
    <w:p>
      <w:pPr>
        <w:tabs>
          <w:tab w:val="left" w:pos="6645"/>
        </w:tabs>
        <w:spacing w:line="360" w:lineRule="auto"/>
        <w:rPr>
          <w:rFonts w:hint="eastAsia" w:ascii="宋体" w:hAnsi="宋体" w:eastAsia="宋体" w:cs="宋体"/>
          <w:b/>
          <w:bCs/>
          <w:sz w:val="28"/>
          <w:szCs w:val="28"/>
        </w:rPr>
      </w:pPr>
    </w:p>
    <w:p>
      <w:pPr>
        <w:tabs>
          <w:tab w:val="left" w:pos="6645"/>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p>
    <w:p>
      <w:pPr>
        <w:tabs>
          <w:tab w:val="left" w:pos="6645"/>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反商业贿赂承诺书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1、不与其他投标人相互串通投标报价，损害贵院的合法权益；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2、不与招标人串通投标，损害国家利益、社会公共利益或他人的合法权益；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3、不以向招标人或者评标委员会成员行贿的手段谋取中标；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4、竞标报价不违反相关法律的规定，也不以他人名义投标或者以其他方式弄虚作假，骗取中标；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5、保证不以其他任何方式扰乱贵院的招标工作；</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9、保证不以其他任何不正当竞争手段推销药品、医疗器械、设备、物资。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 本厂家、商家、公司保证竭力维护贵院的声誉，不做任何有损贵院形象的事情。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 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2、对本厂家、商家、公司相关工作人员作出严肃处理；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六、 采购物资名称：                                   </w:t>
      </w:r>
    </w:p>
    <w:p>
      <w:pPr>
        <w:spacing w:line="360" w:lineRule="auto"/>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本《承诺书》一式二份（一份由承诺人自存；一份随竞价书传递）</w:t>
      </w:r>
    </w:p>
    <w:p>
      <w:pPr>
        <w:pStyle w:val="7"/>
        <w:rPr>
          <w:rFonts w:hint="eastAsia" w:ascii="宋体" w:hAnsi="宋体" w:eastAsia="宋体" w:cs="宋体"/>
          <w:sz w:val="28"/>
          <w:szCs w:val="28"/>
        </w:rPr>
      </w:pPr>
    </w:p>
    <w:p>
      <w:pPr>
        <w:pStyle w:val="8"/>
        <w:rPr>
          <w:rFonts w:hint="eastAsia" w:ascii="宋体" w:hAnsi="宋体" w:eastAsia="宋体" w:cs="宋体"/>
          <w:sz w:val="28"/>
          <w:szCs w:val="28"/>
        </w:rPr>
      </w:pPr>
      <w:r>
        <w:rPr>
          <w:rFonts w:hint="eastAsia" w:ascii="宋体" w:hAnsi="宋体" w:eastAsia="宋体" w:cs="宋体"/>
          <w:sz w:val="28"/>
          <w:szCs w:val="28"/>
        </w:rPr>
        <w:t xml:space="preserve">承诺企业名称（公章）                     </w:t>
      </w:r>
    </w:p>
    <w:p>
      <w:pPr>
        <w:pStyle w:val="8"/>
        <w:rPr>
          <w:rFonts w:hint="eastAsia" w:ascii="宋体" w:hAnsi="宋体" w:eastAsia="宋体" w:cs="宋体"/>
          <w:sz w:val="28"/>
          <w:szCs w:val="28"/>
        </w:rPr>
      </w:pPr>
      <w:r>
        <w:rPr>
          <w:rFonts w:hint="eastAsia" w:ascii="宋体" w:hAnsi="宋体" w:eastAsia="宋体" w:cs="宋体"/>
          <w:sz w:val="28"/>
          <w:szCs w:val="28"/>
        </w:rPr>
        <w:t>法人代表或委托代理人（承诺人）</w:t>
      </w:r>
    </w:p>
    <w:p>
      <w:pPr>
        <w:spacing w:line="360" w:lineRule="auto"/>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1560F5C"/>
    <w:rsid w:val="2EC51943"/>
    <w:rsid w:val="391841AA"/>
    <w:rsid w:val="3DCE08CB"/>
    <w:rsid w:val="44E80297"/>
    <w:rsid w:val="4D7B6113"/>
    <w:rsid w:val="58A44A47"/>
    <w:rsid w:val="5C2B289F"/>
    <w:rsid w:val="6D1E1063"/>
    <w:rsid w:val="721B0EC9"/>
    <w:rsid w:val="777627F5"/>
    <w:rsid w:val="78EC0F5A"/>
    <w:rsid w:val="7C4D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2">
    <w:name w:val="heading 4"/>
    <w:basedOn w:val="1"/>
    <w:next w:val="1"/>
    <w:qFormat/>
    <w:uiPriority w:val="9"/>
    <w:pPr>
      <w:keepNext/>
      <w:spacing w:before="240" w:after="60"/>
      <w:outlineLvl w:val="3"/>
    </w:pPr>
    <w:rPr>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qFormat/>
    <w:uiPriority w:val="99"/>
    <w:pPr>
      <w:ind w:firstLine="420" w:firstLineChars="100"/>
    </w:pPr>
  </w:style>
  <w:style w:type="paragraph" w:styleId="9">
    <w:name w:val="Body Text Indent"/>
    <w:basedOn w:val="1"/>
    <w:qFormat/>
    <w:uiPriority w:val="0"/>
    <w:pPr>
      <w:ind w:firstLine="630"/>
    </w:pPr>
    <w:rPr>
      <w:sz w:val="32"/>
      <w:szCs w:val="20"/>
    </w:rPr>
  </w:style>
  <w:style w:type="paragraph" w:styleId="10">
    <w:name w:val="Normal (Web)"/>
    <w:basedOn w:val="1"/>
    <w:qFormat/>
    <w:uiPriority w:val="0"/>
    <w:pPr>
      <w:widowControl/>
      <w:spacing w:before="100" w:beforeLines="0" w:beforeAutospacing="1" w:after="100" w:afterLines="0" w:afterAutospacing="1"/>
      <w:jc w:val="left"/>
    </w:pPr>
    <w:rPr>
      <w:rFonts w:ascii="宋体" w:hAnsi="Calibri" w:eastAsia="宋体" w:cs="Times New Roman"/>
      <w:kern w:val="0"/>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6670</Words>
  <Characters>6887</Characters>
  <Lines>0</Lines>
  <Paragraphs>0</Paragraphs>
  <TotalTime>20</TotalTime>
  <ScaleCrop>false</ScaleCrop>
  <LinksUpToDate>false</LinksUpToDate>
  <CharactersWithSpaces>7267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WPS_1641450240</cp:lastModifiedBy>
  <dcterms:modified xsi:type="dcterms:W3CDTF">2022-05-10T04:22:38Z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321D3611BF9E4B3F9B8BF67F2A3EB022</vt:lpwstr>
  </property>
</Properties>
</file>