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cs="Times New Roman"/>
          <w:b/>
          <w:color w:val="000000"/>
          <w:sz w:val="28"/>
          <w:szCs w:val="21"/>
        </w:rPr>
      </w:pPr>
      <w:r>
        <w:rPr>
          <w:rFonts w:hint="eastAsia" w:ascii="微软雅黑" w:hAnsi="微软雅黑" w:eastAsia="微软雅黑" w:cs="Times New Roman"/>
          <w:b/>
          <w:color w:val="000000"/>
          <w:sz w:val="28"/>
          <w:szCs w:val="21"/>
        </w:rPr>
        <w:t>附件1：</w:t>
      </w:r>
    </w:p>
    <w:tbl>
      <w:tblPr>
        <w:tblStyle w:val="8"/>
        <w:tblW w:w="8259" w:type="dxa"/>
        <w:tblInd w:w="0" w:type="dxa"/>
        <w:tblLayout w:type="autofit"/>
        <w:tblCellMar>
          <w:top w:w="0" w:type="dxa"/>
          <w:left w:w="0" w:type="dxa"/>
          <w:bottom w:w="0" w:type="dxa"/>
          <w:right w:w="0" w:type="dxa"/>
        </w:tblCellMar>
      </w:tblPr>
      <w:tblGrid>
        <w:gridCol w:w="6599"/>
        <w:gridCol w:w="1660"/>
      </w:tblGrid>
      <w:tr>
        <w:tblPrEx>
          <w:tblCellMar>
            <w:top w:w="0" w:type="dxa"/>
            <w:left w:w="0" w:type="dxa"/>
            <w:bottom w:w="0" w:type="dxa"/>
            <w:right w:w="0" w:type="dxa"/>
          </w:tblCellMar>
        </w:tblPrEx>
        <w:trPr>
          <w:trHeight w:val="381" w:hRule="atLeast"/>
        </w:trPr>
        <w:tc>
          <w:tcPr>
            <w:tcW w:w="6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项目名称</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最高限价</w:t>
            </w:r>
          </w:p>
        </w:tc>
      </w:tr>
      <w:tr>
        <w:trPr>
          <w:trHeight w:val="644" w:hRule="atLeast"/>
        </w:trPr>
        <w:tc>
          <w:tcPr>
            <w:tcW w:w="6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仿宋"/>
                <w:sz w:val="30"/>
                <w:szCs w:val="30"/>
              </w:rPr>
              <w:t>2022年第三方攻防演练应急与渗透服务</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30万</w:t>
            </w:r>
          </w:p>
        </w:tc>
      </w:tr>
    </w:tbl>
    <w:p>
      <w:pPr>
        <w:pStyle w:val="3"/>
        <w:spacing w:line="360" w:lineRule="auto"/>
        <w:jc w:val="both"/>
        <w:rPr>
          <w:rFonts w:hint="eastAsia" w:ascii="宋体" w:hAnsi="宋体" w:cs="仿宋"/>
          <w:sz w:val="30"/>
          <w:szCs w:val="30"/>
        </w:rPr>
      </w:pPr>
      <w:bookmarkStart w:id="0" w:name="_Toc217446095"/>
    </w:p>
    <w:p>
      <w:pPr>
        <w:pStyle w:val="3"/>
        <w:spacing w:line="360" w:lineRule="auto"/>
        <w:ind w:firstLine="295" w:firstLineChars="98"/>
        <w:jc w:val="center"/>
        <w:rPr>
          <w:rFonts w:hint="default" w:ascii="宋体" w:hAnsi="宋体" w:eastAsia="宋体" w:cs="仿宋"/>
          <w:sz w:val="30"/>
          <w:szCs w:val="30"/>
          <w:lang w:val="en-US" w:eastAsia="zh-CN"/>
        </w:rPr>
      </w:pPr>
      <w:r>
        <w:rPr>
          <w:rFonts w:hint="eastAsia" w:ascii="宋体" w:hAnsi="宋体" w:cs="仿宋"/>
          <w:sz w:val="30"/>
          <w:szCs w:val="30"/>
        </w:rPr>
        <w:t>2022年第三方攻防演练应急与渗透服务</w:t>
      </w:r>
      <w:r>
        <w:rPr>
          <w:rFonts w:hint="eastAsia" w:ascii="宋体" w:hAnsi="宋体" w:cs="仿宋"/>
          <w:sz w:val="30"/>
          <w:szCs w:val="30"/>
          <w:lang w:val="en-US" w:eastAsia="zh-CN"/>
        </w:rPr>
        <w:t>采购项目</w:t>
      </w:r>
    </w:p>
    <w:p>
      <w:pPr>
        <w:pStyle w:val="3"/>
        <w:spacing w:line="360" w:lineRule="auto"/>
        <w:ind w:firstLine="295" w:firstLineChars="98"/>
        <w:jc w:val="center"/>
        <w:rPr>
          <w:rFonts w:hint="default" w:ascii="宋体" w:hAnsi="宋体" w:eastAsia="宋体" w:cs="仿宋"/>
          <w:sz w:val="30"/>
          <w:szCs w:val="30"/>
          <w:lang w:val="en-US" w:eastAsia="zh-CN"/>
        </w:rPr>
      </w:pPr>
      <w:r>
        <w:rPr>
          <w:rFonts w:hint="eastAsia" w:ascii="宋体" w:hAnsi="宋体" w:eastAsia="宋体" w:cs="仿宋"/>
          <w:sz w:val="30"/>
          <w:szCs w:val="30"/>
          <w:lang w:val="en-US" w:eastAsia="zh-CN"/>
        </w:rPr>
        <w:t>招标参数和评分标准</w:t>
      </w:r>
    </w:p>
    <w:p>
      <w:pPr>
        <w:pStyle w:val="3"/>
        <w:spacing w:line="360" w:lineRule="auto"/>
        <w:ind w:firstLine="236" w:firstLineChars="98"/>
        <w:rPr>
          <w:rFonts w:ascii="宋体" w:hAnsi="宋体" w:cs="仿宋"/>
          <w:szCs w:val="24"/>
        </w:rPr>
      </w:pPr>
      <w:r>
        <w:rPr>
          <w:rFonts w:hint="eastAsia" w:ascii="宋体" w:hAnsi="宋体" w:cs="仿宋"/>
          <w:szCs w:val="24"/>
        </w:rPr>
        <w:t>一、项目概述</w:t>
      </w:r>
    </w:p>
    <w:p>
      <w:pPr>
        <w:pStyle w:val="2"/>
        <w:spacing w:after="0" w:line="360" w:lineRule="auto"/>
        <w:ind w:firstLine="480" w:firstLineChars="200"/>
        <w:rPr>
          <w:sz w:val="24"/>
        </w:rPr>
      </w:pPr>
      <w:r>
        <w:rPr>
          <w:sz w:val="24"/>
        </w:rPr>
        <w:t>因近年来信息安全事件频发</w:t>
      </w:r>
      <w:r>
        <w:rPr>
          <w:rFonts w:hint="eastAsia"/>
          <w:sz w:val="24"/>
        </w:rPr>
        <w:t>，</w:t>
      </w:r>
      <w:r>
        <w:rPr>
          <w:sz w:val="24"/>
        </w:rPr>
        <w:t>为了响应国家对网络安全的号召</w:t>
      </w:r>
      <w:r>
        <w:rPr>
          <w:rFonts w:hint="eastAsia"/>
          <w:sz w:val="24"/>
        </w:rPr>
        <w:t>，</w:t>
      </w:r>
      <w:r>
        <w:rPr>
          <w:sz w:val="24"/>
        </w:rPr>
        <w:t>拟针对我院当前信息安全防护体系进行全方面的检验工作</w:t>
      </w:r>
      <w:r>
        <w:rPr>
          <w:rFonts w:hint="eastAsia"/>
          <w:sz w:val="24"/>
        </w:rPr>
        <w:t>。</w:t>
      </w:r>
      <w:r>
        <w:rPr>
          <w:sz w:val="24"/>
        </w:rPr>
        <w:t>实现针对</w:t>
      </w:r>
      <w:r>
        <w:rPr>
          <w:rFonts w:hint="eastAsia"/>
          <w:sz w:val="24"/>
        </w:rPr>
        <w:t>采购人</w:t>
      </w:r>
      <w:r>
        <w:rPr>
          <w:sz w:val="24"/>
        </w:rPr>
        <w:t>当前基础</w:t>
      </w:r>
      <w:r>
        <w:rPr>
          <w:rFonts w:hint="eastAsia"/>
          <w:sz w:val="24"/>
        </w:rPr>
        <w:t>内网、互联网、数据中心网络等目标为对象第三方攻防演练应急与渗透服务采购。基于上述目标进行一次全面综合性安全检验，实现查漏补缺工作，从而为后期采购人的安全建设与整改工作提供参考依据。</w:t>
      </w:r>
    </w:p>
    <w:bookmarkEnd w:id="0"/>
    <w:p>
      <w:pPr>
        <w:pStyle w:val="3"/>
        <w:spacing w:line="360" w:lineRule="auto"/>
        <w:ind w:firstLine="236" w:firstLineChars="98"/>
        <w:rPr>
          <w:rFonts w:ascii="宋体" w:hAnsi="宋体" w:cs="仿宋"/>
          <w:szCs w:val="24"/>
        </w:rPr>
      </w:pPr>
      <w:r>
        <w:rPr>
          <w:rFonts w:hint="eastAsia" w:ascii="宋体" w:hAnsi="宋体" w:cs="仿宋"/>
          <w:szCs w:val="24"/>
        </w:rPr>
        <w:t>二、技术服务要求</w:t>
      </w:r>
    </w:p>
    <w:p>
      <w:pPr>
        <w:pStyle w:val="3"/>
        <w:spacing w:line="360" w:lineRule="auto"/>
        <w:ind w:firstLine="236" w:firstLineChars="98"/>
        <w:rPr>
          <w:rFonts w:ascii="宋体" w:hAnsi="宋体" w:cs="仿宋"/>
          <w:szCs w:val="24"/>
        </w:rPr>
      </w:pPr>
      <w:r>
        <w:rPr>
          <w:rFonts w:hint="eastAsia" w:ascii="宋体" w:hAnsi="宋体" w:cs="仿宋"/>
          <w:szCs w:val="24"/>
        </w:rPr>
        <w:t>1</w:t>
      </w:r>
      <w:r>
        <w:rPr>
          <w:rFonts w:ascii="宋体" w:hAnsi="宋体" w:cs="仿宋"/>
          <w:szCs w:val="24"/>
        </w:rPr>
        <w:t>.</w:t>
      </w:r>
      <w:r>
        <w:rPr>
          <w:rFonts w:hint="eastAsia" w:ascii="宋体" w:hAnsi="宋体" w:cs="仿宋"/>
          <w:szCs w:val="24"/>
        </w:rPr>
        <w:t>总体技术要求</w:t>
      </w:r>
    </w:p>
    <w:p>
      <w:pPr>
        <w:pStyle w:val="2"/>
        <w:spacing w:after="0" w:line="360" w:lineRule="auto"/>
        <w:ind w:firstLine="480" w:firstLineChars="200"/>
        <w:rPr>
          <w:sz w:val="24"/>
        </w:rPr>
      </w:pPr>
      <w:r>
        <w:rPr>
          <w:rFonts w:hint="eastAsia"/>
          <w:sz w:val="24"/>
        </w:rPr>
        <w:t>通过本项目的成功实施，将达到以下主要目标：</w:t>
      </w:r>
    </w:p>
    <w:p>
      <w:pPr>
        <w:pStyle w:val="2"/>
        <w:spacing w:after="0" w:line="360" w:lineRule="auto"/>
        <w:ind w:firstLine="480" w:firstLineChars="200"/>
        <w:rPr>
          <w:sz w:val="24"/>
        </w:rPr>
      </w:pPr>
      <w:r>
        <w:rPr>
          <w:rFonts w:hint="eastAsia"/>
          <w:sz w:val="24"/>
        </w:rPr>
        <w:t>1.1对采购人内网、互联网、数据中心网络存储和服务器等基础设施安全威胁的分析，研究相关应对措施；</w:t>
      </w:r>
    </w:p>
    <w:p>
      <w:pPr>
        <w:pStyle w:val="2"/>
        <w:spacing w:after="0" w:line="360" w:lineRule="auto"/>
        <w:ind w:firstLine="480" w:firstLineChars="200"/>
        <w:rPr>
          <w:sz w:val="24"/>
        </w:rPr>
      </w:pPr>
      <w:r>
        <w:rPr>
          <w:rFonts w:hint="eastAsia"/>
          <w:sz w:val="24"/>
        </w:rPr>
        <w:t>1.2对采购人数字化建设威胁源进行监测与处理同时协助采购人完成安全加固，保障业务系统不受网络攻击等引发停摆；</w:t>
      </w:r>
    </w:p>
    <w:p>
      <w:pPr>
        <w:pStyle w:val="2"/>
        <w:spacing w:after="0" w:line="360" w:lineRule="auto"/>
        <w:ind w:firstLine="480" w:firstLineChars="200"/>
        <w:rPr>
          <w:sz w:val="24"/>
        </w:rPr>
      </w:pPr>
      <w:r>
        <w:rPr>
          <w:rFonts w:hint="eastAsia"/>
          <w:sz w:val="24"/>
        </w:rPr>
        <w:t>1.3安全加固工作完成后配合采购人完成模拟攻防演练，验证安全加固的效果；</w:t>
      </w:r>
    </w:p>
    <w:p>
      <w:pPr>
        <w:pStyle w:val="2"/>
        <w:spacing w:after="0" w:line="360" w:lineRule="auto"/>
        <w:ind w:firstLine="480" w:firstLineChars="200"/>
        <w:rPr>
          <w:sz w:val="24"/>
        </w:rPr>
      </w:pPr>
      <w:r>
        <w:rPr>
          <w:rFonts w:hint="eastAsia"/>
          <w:sz w:val="24"/>
        </w:rPr>
        <w:t>1.4为采购人组织一次安全意识和攻防能力评估，根据安全意识评估结果，为采购人信息部门员工提供信息安全培训。</w:t>
      </w:r>
    </w:p>
    <w:p>
      <w:pPr>
        <w:pStyle w:val="3"/>
        <w:spacing w:line="360" w:lineRule="auto"/>
        <w:ind w:firstLine="235" w:firstLineChars="98"/>
        <w:rPr>
          <w:rFonts w:ascii="宋体" w:hAnsi="宋体" w:cs="仿宋"/>
          <w:b w:val="0"/>
          <w:bCs w:val="0"/>
          <w:szCs w:val="24"/>
        </w:rPr>
      </w:pPr>
      <w:r>
        <w:rPr>
          <w:rFonts w:ascii="宋体" w:hAnsi="宋体" w:cs="仿宋"/>
          <w:b w:val="0"/>
          <w:bCs w:val="0"/>
          <w:szCs w:val="24"/>
        </w:rPr>
        <w:t>2.</w:t>
      </w:r>
      <w:r>
        <w:rPr>
          <w:rFonts w:hint="eastAsia" w:ascii="宋体" w:hAnsi="宋体" w:cs="仿宋"/>
          <w:b w:val="0"/>
          <w:bCs w:val="0"/>
          <w:szCs w:val="24"/>
        </w:rPr>
        <w:t>主要服务内容：</w:t>
      </w:r>
    </w:p>
    <w:p>
      <w:pPr>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以服务采购方式由第三方服务投标人提供工具和服务：对</w:t>
      </w:r>
      <w:r>
        <w:rPr>
          <w:rFonts w:hint="eastAsia"/>
          <w:sz w:val="24"/>
        </w:rPr>
        <w:t>采购人</w:t>
      </w:r>
      <w:r>
        <w:rPr>
          <w:rFonts w:hint="eastAsia" w:ascii="宋体" w:hAnsi="宋体" w:cs="宋体"/>
          <w:sz w:val="24"/>
        </w:rPr>
        <w:t>数据中心基于威胁建模、行为分析技术，对全院数据流量进行检测，引入多种数据源分析；基于大数据分析和威胁情报共享技术提供全网安全威胁分析处置和安全加固服务；</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.2根据</w:t>
      </w:r>
      <w:r>
        <w:rPr>
          <w:rFonts w:hint="eastAsia"/>
          <w:sz w:val="24"/>
        </w:rPr>
        <w:t>采购人</w:t>
      </w:r>
      <w:r>
        <w:rPr>
          <w:rFonts w:hint="eastAsia" w:ascii="宋体" w:hAnsi="宋体" w:cs="宋体"/>
          <w:sz w:val="24"/>
        </w:rPr>
        <w:t>当前的信息安全建设现状开展信息安全攻防演练，涉及资产评估，风险评估，渗透测试，安全整改加固，大型重保期间的驻场运维。具体要求如下：</w:t>
      </w:r>
    </w:p>
    <w:p>
      <w:pPr>
        <w:pStyle w:val="3"/>
        <w:spacing w:line="360" w:lineRule="auto"/>
        <w:ind w:firstLine="236" w:firstLineChars="98"/>
        <w:rPr>
          <w:rFonts w:ascii="宋体" w:hAnsi="宋体" w:cs="仿宋"/>
          <w:szCs w:val="24"/>
        </w:rPr>
      </w:pPr>
      <w:r>
        <w:rPr>
          <w:rFonts w:hint="eastAsia" w:ascii="宋体" w:hAnsi="宋体" w:cs="仿宋"/>
          <w:szCs w:val="24"/>
        </w:rPr>
        <w:t>（1）全网潜伏安全威胁分析和安全加固</w:t>
      </w:r>
    </w:p>
    <w:p>
      <w:pPr>
        <w:pStyle w:val="4"/>
        <w:spacing w:line="360" w:lineRule="auto"/>
        <w:ind w:firstLine="480"/>
        <w:rPr>
          <w:rFonts w:ascii="宋体" w:hAnsi="宋体" w:cs="宋体"/>
          <w:sz w:val="24"/>
        </w:rPr>
      </w:pPr>
      <w:r>
        <w:rPr>
          <w:rFonts w:hint="eastAsia" w:ascii="宋体" w:hAnsi="宋体" w:cs="宋体"/>
          <w:sz w:val="24"/>
        </w:rPr>
        <w:t>在</w:t>
      </w:r>
      <w:r>
        <w:rPr>
          <w:rFonts w:hint="eastAsia"/>
          <w:sz w:val="24"/>
        </w:rPr>
        <w:t>采购人</w:t>
      </w:r>
      <w:r>
        <w:rPr>
          <w:rFonts w:hint="eastAsia" w:ascii="宋体" w:hAnsi="宋体" w:cs="宋体"/>
          <w:sz w:val="24"/>
        </w:rPr>
        <w:t>数据中心部署全流量分析平台，在核心交换层与内部安全域部署潜伏威胁探针，通过网络流量镜像在内部对用户到业务资产、业务的访问关系进行识别，基于捕捉到的网络流量对内部进行初步的攻击识别、违规行为检测与内网异常行为识别。具体要求如下：</w:t>
      </w:r>
    </w:p>
    <w:tbl>
      <w:tblPr>
        <w:tblStyle w:val="8"/>
        <w:tblW w:w="4973"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43"/>
        <w:gridCol w:w="1603"/>
        <w:gridCol w:w="57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6" w:hRule="atLeast"/>
          <w:tblHeader/>
          <w:jc w:val="center"/>
        </w:trPr>
        <w:tc>
          <w:tcPr>
            <w:tcW w:w="674" w:type="pct"/>
            <w:shd w:val="clear" w:color="auto" w:fill="5B9BD5"/>
            <w:noWrap/>
            <w:vAlign w:val="center"/>
          </w:tcPr>
          <w:p>
            <w:pPr>
              <w:pStyle w:val="14"/>
              <w:spacing w:line="276" w:lineRule="auto"/>
              <w:jc w:val="center"/>
              <w:rPr>
                <w:rFonts w:hAnsi="宋体" w:cs="宋体"/>
                <w:bCs/>
                <w:sz w:val="24"/>
                <w:szCs w:val="24"/>
              </w:rPr>
            </w:pPr>
            <w:r>
              <w:rPr>
                <w:rFonts w:hint="eastAsia" w:hAnsi="宋体" w:cs="宋体"/>
                <w:bCs/>
                <w:sz w:val="24"/>
                <w:szCs w:val="24"/>
              </w:rPr>
              <w:t>工作分类</w:t>
            </w:r>
          </w:p>
        </w:tc>
        <w:tc>
          <w:tcPr>
            <w:tcW w:w="946" w:type="pct"/>
            <w:shd w:val="clear" w:color="auto" w:fill="5B9BD5"/>
            <w:noWrap/>
            <w:vAlign w:val="center"/>
          </w:tcPr>
          <w:p>
            <w:pPr>
              <w:pStyle w:val="14"/>
              <w:spacing w:line="276" w:lineRule="auto"/>
              <w:jc w:val="center"/>
              <w:rPr>
                <w:rFonts w:hAnsi="宋体" w:cs="宋体"/>
                <w:bCs/>
                <w:sz w:val="24"/>
                <w:szCs w:val="24"/>
              </w:rPr>
            </w:pPr>
            <w:r>
              <w:rPr>
                <w:rFonts w:hint="eastAsia" w:hAnsi="宋体" w:cs="宋体"/>
                <w:bCs/>
                <w:sz w:val="24"/>
                <w:szCs w:val="24"/>
              </w:rPr>
              <w:t>分项工作</w:t>
            </w:r>
          </w:p>
        </w:tc>
        <w:tc>
          <w:tcPr>
            <w:tcW w:w="3379" w:type="pct"/>
            <w:shd w:val="clear" w:color="auto" w:fill="5B9BD5"/>
            <w:noWrap/>
            <w:vAlign w:val="center"/>
          </w:tcPr>
          <w:p>
            <w:pPr>
              <w:pStyle w:val="14"/>
              <w:spacing w:line="276" w:lineRule="auto"/>
              <w:jc w:val="center"/>
              <w:rPr>
                <w:rFonts w:hAnsi="宋体" w:cs="宋体"/>
                <w:bCs/>
                <w:sz w:val="24"/>
                <w:szCs w:val="24"/>
              </w:rPr>
            </w:pPr>
            <w:r>
              <w:rPr>
                <w:rFonts w:hint="eastAsia" w:hAnsi="宋体" w:cs="宋体"/>
                <w:bCs/>
                <w:sz w:val="24"/>
                <w:szCs w:val="24"/>
              </w:rPr>
              <w:t>内容说明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674" w:type="pct"/>
            <w:vMerge w:val="restar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安全威胁分析</w:t>
            </w:r>
          </w:p>
        </w:tc>
        <w:tc>
          <w:tcPr>
            <w:tcW w:w="946" w:type="pct"/>
            <w:shd w:val="clear" w:color="auto" w:fill="auto"/>
            <w:noWrap/>
            <w:vAlign w:val="center"/>
          </w:tcPr>
          <w:p>
            <w:pPr>
              <w:pStyle w:val="14"/>
              <w:spacing w:line="276" w:lineRule="auto"/>
              <w:rPr>
                <w:rFonts w:hAnsi="宋体" w:cs="宋体"/>
                <w:bCs/>
                <w:sz w:val="24"/>
                <w:szCs w:val="24"/>
              </w:rPr>
            </w:pPr>
            <w:r>
              <w:rPr>
                <w:rFonts w:hint="eastAsia" w:hAnsi="宋体" w:cs="宋体"/>
                <w:bCs/>
                <w:sz w:val="24"/>
                <w:szCs w:val="24"/>
              </w:rPr>
              <w:t>1）恶意病毒感染分析</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通过工具发现网络或者系统遭受病毒木马威胁，通过识别病毒特征、找出路径、定位感染文件和感染范围，确定病毒感染真实存在，验证失陷主机真实存在。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6" w:hRule="atLeast"/>
          <w:jc w:val="center"/>
        </w:trPr>
        <w:tc>
          <w:tcPr>
            <w:tcW w:w="674" w:type="pct"/>
            <w:vMerge w:val="continue"/>
            <w:shd w:val="clear" w:color="auto" w:fill="auto"/>
            <w:vAlign w:val="center"/>
          </w:tcPr>
          <w:p>
            <w:pPr>
              <w:pStyle w:val="14"/>
              <w:spacing w:line="276" w:lineRule="auto"/>
              <w:ind w:firstLine="360"/>
              <w:rPr>
                <w:rFonts w:hAnsi="宋体" w:cs="宋体"/>
                <w:bCs/>
                <w:sz w:val="24"/>
                <w:szCs w:val="24"/>
              </w:rPr>
            </w:pP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2）明文传输和弱口令分析</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通过抓包分析和逐条登录验证等方式，确认该类弱点是否真实存在，并依据登录网络环境判断是否存在威胁和风险。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0" w:hRule="atLeast"/>
          <w:jc w:val="center"/>
        </w:trPr>
        <w:tc>
          <w:tcPr>
            <w:tcW w:w="674" w:type="pct"/>
            <w:vMerge w:val="continue"/>
            <w:shd w:val="clear" w:color="auto" w:fill="auto"/>
            <w:vAlign w:val="center"/>
          </w:tcPr>
          <w:p>
            <w:pPr>
              <w:pStyle w:val="14"/>
              <w:spacing w:line="276" w:lineRule="auto"/>
              <w:ind w:firstLine="360"/>
              <w:rPr>
                <w:rFonts w:hAnsi="宋体" w:cs="宋体"/>
                <w:bCs/>
                <w:sz w:val="24"/>
                <w:szCs w:val="24"/>
              </w:rPr>
            </w:pP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3）网络攻击分析</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网络攻击验证，包含内网攻击验证和外网攻击验证。内网攻击方面像SMB内网爆破等。该类攻击产生特点有：因网络延迟、账户密码错误、错误策略配置、权限配置不当和信息系统请求协议或方式不规范等。验证主要内容包括，暴力破解验证、木马攻击验证、邮件威胁验证、文件威胁验证和风险访问验证等。外网攻击验证主要分析互联网APT威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0" w:hRule="atLeast"/>
          <w:jc w:val="center"/>
        </w:trPr>
        <w:tc>
          <w:tcPr>
            <w:tcW w:w="674" w:type="pct"/>
            <w:vMerge w:val="continue"/>
            <w:shd w:val="clear" w:color="auto" w:fill="auto"/>
            <w:vAlign w:val="center"/>
          </w:tcPr>
          <w:p>
            <w:pPr>
              <w:pStyle w:val="14"/>
              <w:spacing w:line="276" w:lineRule="auto"/>
              <w:ind w:firstLine="360"/>
              <w:rPr>
                <w:rFonts w:hAnsi="宋体" w:cs="宋体"/>
                <w:bCs/>
                <w:sz w:val="24"/>
                <w:szCs w:val="24"/>
              </w:rPr>
            </w:pP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4）业务风险分析</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主要针对开放高危端口验证和高危行为画像验证等。开放端口验证又分为互联网开放端口验证和内网开放端口验证。行为画像验证，主要验证网络请求行为的时间、方式、请求过程和结果等方面，验证该行为是否为高危行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4" w:hRule="atLeast"/>
          <w:jc w:val="center"/>
        </w:trPr>
        <w:tc>
          <w:tcPr>
            <w:tcW w:w="674" w:type="pct"/>
            <w:vMerge w:val="continue"/>
            <w:shd w:val="clear" w:color="auto" w:fill="auto"/>
            <w:vAlign w:val="center"/>
          </w:tcPr>
          <w:p>
            <w:pPr>
              <w:pStyle w:val="14"/>
              <w:spacing w:line="276" w:lineRule="auto"/>
              <w:ind w:firstLine="360"/>
              <w:rPr>
                <w:rFonts w:hAnsi="宋体" w:cs="宋体"/>
                <w:bCs/>
                <w:sz w:val="24"/>
                <w:szCs w:val="24"/>
              </w:rPr>
            </w:pP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5）安全威胁分析</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结合以上威胁分析工具给出信息，整体安全分析业务面临的外部威胁和内部弱点。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4" w:hRule="atLeast"/>
          <w:jc w:val="center"/>
        </w:trPr>
        <w:tc>
          <w:tcPr>
            <w:tcW w:w="674" w:type="pct"/>
            <w:vMerge w:val="restar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安全事件溯源</w:t>
            </w: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1）病毒木马溯源</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依据用户系统弱点、网络拓扑结构和业务流情况，结合数据请求方式和内容，通过工具给出的信息，找出病毒创建时间、感染时间、传播路径等信息分析出病毒木马最早入侵原因。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0" w:hRule="atLeast"/>
          <w:jc w:val="center"/>
        </w:trPr>
        <w:tc>
          <w:tcPr>
            <w:tcW w:w="674" w:type="pct"/>
            <w:vMerge w:val="continue"/>
            <w:shd w:val="clear" w:color="auto" w:fill="auto"/>
            <w:vAlign w:val="center"/>
          </w:tcPr>
          <w:p>
            <w:pPr>
              <w:pStyle w:val="14"/>
              <w:spacing w:line="276" w:lineRule="auto"/>
              <w:ind w:firstLine="360"/>
              <w:rPr>
                <w:rFonts w:hAnsi="宋体" w:cs="宋体"/>
                <w:bCs/>
                <w:sz w:val="24"/>
                <w:szCs w:val="24"/>
              </w:rPr>
            </w:pP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2）内部网络攻击溯源</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内网攻击分析溯源过程中，依据威胁分析工具、标准化操作流程和专家工作经验，真实溯源事件过程。在分析前需了解用户网络拓扑图、安全架构、业务数据流和数据访问流等。分析内网攻击行为原因（人为、系统请求和主机异常等），逐项分析，定位攻击源、攻击行为、攻击路径和攻击目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674" w:type="pct"/>
            <w:vMerge w:val="continue"/>
            <w:shd w:val="clear" w:color="auto" w:fill="auto"/>
            <w:vAlign w:val="center"/>
          </w:tcPr>
          <w:p>
            <w:pPr>
              <w:pStyle w:val="14"/>
              <w:spacing w:line="276" w:lineRule="auto"/>
              <w:ind w:firstLine="360"/>
              <w:rPr>
                <w:rFonts w:hAnsi="宋体" w:cs="宋体"/>
                <w:bCs/>
                <w:sz w:val="24"/>
                <w:szCs w:val="24"/>
              </w:rPr>
            </w:pP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3）互联网攻击溯源</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基于大数据分析平台，结合过往经验，外部攻击给出定性说明，如APT攻击、合规安全检测、僵尸网络攻击、肉鸡攻击、恶意扫描嗅探、黑客渗透和“小白学习”等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674" w:type="pct"/>
            <w:vMerge w:val="restar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已发现安全事件处置</w:t>
            </w: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1）病毒事件处置工具查杀</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通过工具快速查杀网络、主机及信息系统感染病毒，并通知用户重启设备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674" w:type="pct"/>
            <w:vMerge w:val="continue"/>
            <w:shd w:val="clear" w:color="auto" w:fill="auto"/>
            <w:vAlign w:val="center"/>
          </w:tcPr>
          <w:p>
            <w:pPr>
              <w:pStyle w:val="14"/>
              <w:spacing w:line="276" w:lineRule="auto"/>
              <w:ind w:firstLine="360"/>
              <w:rPr>
                <w:rFonts w:hAnsi="宋体" w:cs="宋体"/>
                <w:bCs/>
                <w:sz w:val="24"/>
                <w:szCs w:val="24"/>
              </w:rPr>
            </w:pP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2）病毒事件处置人工查杀</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一些新型病毒，杀毒工具尚未更新或其他需要，安全工程师会通过查看进程、监听端口、定位路径的方式找到怀疑文件，查看文件创建时间、配置文件和运行日志确定是否为病毒，保存记录，用户确认后清除的方式进行病毒查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74" w:type="pct"/>
            <w:vMerge w:val="continue"/>
            <w:shd w:val="clear" w:color="auto" w:fill="auto"/>
            <w:vAlign w:val="center"/>
          </w:tcPr>
          <w:p>
            <w:pPr>
              <w:pStyle w:val="14"/>
              <w:spacing w:line="276" w:lineRule="auto"/>
              <w:ind w:firstLine="360"/>
              <w:rPr>
                <w:rFonts w:hAnsi="宋体" w:cs="宋体"/>
                <w:bCs/>
                <w:sz w:val="24"/>
                <w:szCs w:val="24"/>
              </w:rPr>
            </w:pP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3）网络攻击事件处置</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网络攻击处置分为互联网攻击处置和内网攻击处置。互联网攻击处置，溯源攻击是通过防火墙关闭对外高危端口或对恶意攻击IP黑名单模式进行控制和屏蔽的方式，处置外部攻击，降低外部威胁；对必须开放端口，如80端口。给出加固建议，保护对外服务，确保互联网攻击得到处置。对内网络攻击事件处置，通过隔离攻击源、限制访问源地址、限制访问源端口、限制访问流量和访问时间等方式解决内网攻击事件。在整个内网处置过程中，安全工程师找出最佳处置方式，验证方案可行，再作为知识方式传递给用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674" w:type="pct"/>
            <w:vMerge w:val="restar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安全应对措施</w:t>
            </w: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1）网络架构加固建议</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依据安全事件溯源分析结果、信息安全合规性要求和用户业务安全需求，给出网络架构加固建议。建议主要包含边界安全建设、边界动态防御、网络安全域划分、网络数据流控制、网络运维区安全、应用系统区和数据区安全的动态防御体系等。建议设计过程中，充分考虑用户的业务需求和发展，设计架构需要满足易运维、易管理、易扩展等方面需求，特别是虚拟化和云化快速发展阶段，还需要保障能利旧和创新等方面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2" w:hRule="atLeast"/>
          <w:jc w:val="center"/>
        </w:trPr>
        <w:tc>
          <w:tcPr>
            <w:tcW w:w="674" w:type="pct"/>
            <w:vMerge w:val="continue"/>
            <w:shd w:val="clear" w:color="auto" w:fill="auto"/>
            <w:vAlign w:val="center"/>
          </w:tcPr>
          <w:p>
            <w:pPr>
              <w:pStyle w:val="14"/>
              <w:spacing w:line="276" w:lineRule="auto"/>
              <w:ind w:firstLine="360"/>
              <w:rPr>
                <w:rFonts w:hAnsi="宋体" w:cs="宋体"/>
                <w:bCs/>
                <w:sz w:val="24"/>
                <w:szCs w:val="24"/>
              </w:rPr>
            </w:pP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2）系统架构加固建议</w:t>
            </w:r>
          </w:p>
        </w:tc>
        <w:tc>
          <w:tcPr>
            <w:tcW w:w="3379"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根据威胁分析工具，发现信息系统和主机存在SQL注入、跨站脚本编制、未加密登录请求、应用组件版本低、系统未更新补丁和开放高危端口等方面加固。加固方案类型包括，针对弱点处置方案，如：依据安全工具建议处置方案、依据分析工程师经验处置方案和其他专家给出建议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674" w:type="pct"/>
            <w:vMerge w:val="continue"/>
            <w:shd w:val="clear" w:color="auto" w:fill="auto"/>
            <w:vAlign w:val="center"/>
          </w:tcPr>
          <w:p>
            <w:pPr>
              <w:pStyle w:val="14"/>
              <w:spacing w:line="276" w:lineRule="auto"/>
              <w:ind w:firstLine="360"/>
              <w:rPr>
                <w:rFonts w:hAnsi="宋体" w:cs="宋体"/>
                <w:bCs/>
                <w:sz w:val="24"/>
                <w:szCs w:val="24"/>
              </w:rPr>
            </w:pPr>
          </w:p>
        </w:tc>
        <w:tc>
          <w:tcPr>
            <w:tcW w:w="946" w:type="pct"/>
            <w:shd w:val="clear" w:color="auto" w:fill="auto"/>
            <w:vAlign w:val="center"/>
          </w:tcPr>
          <w:p>
            <w:pPr>
              <w:pStyle w:val="14"/>
              <w:spacing w:line="276" w:lineRule="auto"/>
              <w:rPr>
                <w:rFonts w:hAnsi="宋体" w:cs="宋体"/>
                <w:bCs/>
                <w:sz w:val="24"/>
                <w:szCs w:val="24"/>
              </w:rPr>
            </w:pPr>
            <w:r>
              <w:rPr>
                <w:rFonts w:hint="eastAsia" w:hAnsi="宋体" w:cs="宋体"/>
                <w:bCs/>
                <w:sz w:val="24"/>
                <w:szCs w:val="24"/>
              </w:rPr>
              <w:t>3）信息安全管理体系加固建议</w:t>
            </w:r>
          </w:p>
        </w:tc>
        <w:tc>
          <w:tcPr>
            <w:tcW w:w="3379" w:type="pct"/>
            <w:shd w:val="clear" w:color="auto" w:fill="auto"/>
            <w:vAlign w:val="center"/>
          </w:tcPr>
          <w:p>
            <w:pPr>
              <w:pStyle w:val="14"/>
              <w:spacing w:line="276" w:lineRule="auto"/>
              <w:rPr>
                <w:rFonts w:hAnsi="宋体" w:cs="宋体"/>
                <w:sz w:val="24"/>
                <w:szCs w:val="24"/>
              </w:rPr>
            </w:pPr>
            <w:r>
              <w:rPr>
                <w:rFonts w:hint="eastAsia" w:hAnsi="宋体" w:cs="宋体"/>
                <w:sz w:val="24"/>
                <w:szCs w:val="24"/>
              </w:rPr>
              <w:t>依据国内相关法律法规和国际相关标准，结合用户相关管理体系，为用户提供信息安全管理体系参考文档。</w:t>
            </w:r>
          </w:p>
        </w:tc>
      </w:tr>
    </w:tbl>
    <w:p>
      <w:pPr>
        <w:pStyle w:val="2"/>
        <w:spacing w:after="0" w:line="360" w:lineRule="auto"/>
        <w:ind w:firstLine="482" w:firstLineChars="200"/>
        <w:rPr>
          <w:rFonts w:ascii="宋体" w:hAnsi="宋体" w:cs="宋体"/>
          <w:b/>
          <w:bCs/>
          <w:sz w:val="24"/>
        </w:rPr>
      </w:pPr>
    </w:p>
    <w:p>
      <w:pPr>
        <w:pStyle w:val="3"/>
        <w:spacing w:line="360" w:lineRule="auto"/>
        <w:ind w:firstLine="236" w:firstLineChars="98"/>
        <w:rPr>
          <w:rFonts w:ascii="宋体" w:hAnsi="宋体" w:cs="仿宋"/>
          <w:szCs w:val="24"/>
        </w:rPr>
      </w:pPr>
      <w:r>
        <w:rPr>
          <w:rFonts w:hint="eastAsia" w:ascii="宋体" w:hAnsi="宋体" w:cs="仿宋"/>
          <w:szCs w:val="24"/>
        </w:rPr>
        <w:t>（2）安全运营服务</w:t>
      </w:r>
    </w:p>
    <w:p>
      <w:pPr>
        <w:pStyle w:val="2"/>
        <w:spacing w:after="0" w:line="360" w:lineRule="auto"/>
        <w:rPr>
          <w:rFonts w:ascii="宋体" w:hAnsi="宋体" w:cs="仿宋"/>
          <w:bCs/>
          <w:sz w:val="24"/>
        </w:rPr>
      </w:pPr>
      <w:r>
        <w:rPr>
          <w:rFonts w:hint="eastAsia"/>
          <w:sz w:val="24"/>
        </w:rPr>
        <w:t>投标人</w:t>
      </w:r>
      <w:r>
        <w:rPr>
          <w:sz w:val="24"/>
        </w:rPr>
        <w:t>应根据</w:t>
      </w:r>
      <w:r>
        <w:rPr>
          <w:rFonts w:hint="eastAsia"/>
          <w:sz w:val="24"/>
        </w:rPr>
        <w:t>采购人</w:t>
      </w:r>
      <w:r>
        <w:rPr>
          <w:sz w:val="24"/>
        </w:rPr>
        <w:t>的实际情况，组织专家团队为</w:t>
      </w:r>
      <w:r>
        <w:rPr>
          <w:rFonts w:hint="eastAsia"/>
          <w:sz w:val="24"/>
        </w:rPr>
        <w:t>采购人</w:t>
      </w:r>
      <w:r>
        <w:rPr>
          <w:sz w:val="24"/>
        </w:rPr>
        <w:t>提供完善的安全运营服务。</w:t>
      </w:r>
    </w:p>
    <w:tbl>
      <w:tblPr>
        <w:tblStyle w:val="8"/>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87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shd w:val="clear" w:color="auto" w:fill="44546A"/>
            <w:vAlign w:val="center"/>
          </w:tcPr>
          <w:p>
            <w:pPr>
              <w:jc w:val="center"/>
              <w:rPr>
                <w:rFonts w:ascii="宋体" w:hAnsi="宋体" w:cs="仿宋"/>
                <w:b/>
                <w:bCs/>
                <w:color w:val="FFFFFF"/>
                <w:sz w:val="24"/>
              </w:rPr>
            </w:pPr>
            <w:r>
              <w:rPr>
                <w:rFonts w:hint="eastAsia" w:ascii="宋体" w:hAnsi="宋体" w:cs="仿宋"/>
                <w:b/>
                <w:bCs/>
                <w:color w:val="FFFFFF"/>
                <w:sz w:val="24"/>
              </w:rPr>
              <w:t>服务类</w:t>
            </w:r>
          </w:p>
        </w:tc>
        <w:tc>
          <w:tcPr>
            <w:tcW w:w="913" w:type="dxa"/>
            <w:tcBorders>
              <w:top w:val="single" w:color="auto" w:sz="4" w:space="0"/>
              <w:left w:val="single" w:color="auto" w:sz="4" w:space="0"/>
              <w:bottom w:val="single" w:color="auto" w:sz="4" w:space="0"/>
              <w:right w:val="single" w:color="auto" w:sz="4" w:space="0"/>
            </w:tcBorders>
            <w:shd w:val="clear" w:color="auto" w:fill="44546A"/>
            <w:vAlign w:val="center"/>
          </w:tcPr>
          <w:p>
            <w:pPr>
              <w:jc w:val="center"/>
              <w:rPr>
                <w:rFonts w:ascii="宋体" w:hAnsi="宋体" w:cs="仿宋"/>
                <w:b/>
                <w:bCs/>
                <w:color w:val="FFFFFF"/>
                <w:sz w:val="24"/>
              </w:rPr>
            </w:pPr>
            <w:r>
              <w:rPr>
                <w:rFonts w:hint="eastAsia" w:ascii="宋体" w:hAnsi="宋体" w:cs="仿宋"/>
                <w:b/>
                <w:bCs/>
                <w:color w:val="FFFFFF"/>
                <w:sz w:val="24"/>
              </w:rPr>
              <w:t>技术类型</w:t>
            </w:r>
          </w:p>
        </w:tc>
        <w:tc>
          <w:tcPr>
            <w:tcW w:w="7447" w:type="dxa"/>
            <w:tcBorders>
              <w:top w:val="single" w:color="auto" w:sz="4" w:space="0"/>
              <w:left w:val="single" w:color="auto" w:sz="4" w:space="0"/>
              <w:bottom w:val="single" w:color="auto" w:sz="4" w:space="0"/>
              <w:right w:val="single" w:color="auto" w:sz="4" w:space="0"/>
            </w:tcBorders>
            <w:shd w:val="clear" w:color="auto" w:fill="44546A"/>
            <w:vAlign w:val="center"/>
          </w:tcPr>
          <w:p>
            <w:pPr>
              <w:pStyle w:val="16"/>
              <w:ind w:firstLine="0" w:firstLineChars="0"/>
              <w:jc w:val="center"/>
              <w:rPr>
                <w:rFonts w:ascii="宋体" w:hAnsi="宋体" w:cs="仿宋"/>
                <w:b/>
                <w:bCs/>
                <w:color w:val="FFFFFF"/>
                <w:kern w:val="0"/>
                <w:sz w:val="24"/>
              </w:rPr>
            </w:pPr>
            <w:r>
              <w:rPr>
                <w:rFonts w:hint="eastAsia" w:ascii="宋体" w:hAnsi="宋体" w:cs="仿宋"/>
                <w:b/>
                <w:bCs/>
                <w:color w:val="FFFFFF"/>
                <w:kern w:val="0"/>
                <w:sz w:val="24"/>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946" w:type="dxa"/>
            <w:vAlign w:val="center"/>
          </w:tcPr>
          <w:p>
            <w:pPr>
              <w:spacing w:line="360" w:lineRule="auto"/>
              <w:jc w:val="center"/>
              <w:rPr>
                <w:rFonts w:ascii="宋体" w:hAnsi="宋体" w:cs="仿宋"/>
                <w:color w:val="000000"/>
                <w:sz w:val="24"/>
              </w:rPr>
            </w:pPr>
            <w:r>
              <w:rPr>
                <w:rFonts w:hint="eastAsia" w:ascii="宋体" w:hAnsi="宋体" w:cs="仿宋"/>
                <w:color w:val="000000"/>
                <w:sz w:val="24"/>
              </w:rPr>
              <w:t>安全运营服务</w:t>
            </w:r>
          </w:p>
        </w:tc>
        <w:tc>
          <w:tcPr>
            <w:tcW w:w="913" w:type="dxa"/>
            <w:vAlign w:val="center"/>
          </w:tcPr>
          <w:p>
            <w:pPr>
              <w:spacing w:line="276" w:lineRule="auto"/>
              <w:jc w:val="center"/>
              <w:rPr>
                <w:rFonts w:ascii="宋体" w:hAnsi="宋体" w:cs="仿宋"/>
                <w:color w:val="000000"/>
                <w:sz w:val="24"/>
              </w:rPr>
            </w:pPr>
            <w:r>
              <w:rPr>
                <w:rFonts w:hint="eastAsia" w:ascii="宋体" w:hAnsi="宋体" w:cs="仿宋"/>
                <w:color w:val="000000"/>
                <w:sz w:val="24"/>
              </w:rPr>
              <w:t>服务内容</w:t>
            </w:r>
          </w:p>
        </w:tc>
        <w:tc>
          <w:tcPr>
            <w:tcW w:w="7447" w:type="dxa"/>
            <w:vAlign w:val="center"/>
          </w:tcPr>
          <w:p>
            <w:pPr>
              <w:pStyle w:val="16"/>
              <w:widowControl/>
              <w:adjustRightInd w:val="0"/>
              <w:snapToGrid w:val="0"/>
              <w:spacing w:line="276" w:lineRule="auto"/>
              <w:ind w:firstLineChars="0"/>
              <w:jc w:val="left"/>
              <w:rPr>
                <w:rFonts w:ascii="宋体" w:hAnsi="宋体" w:cs="仿宋"/>
                <w:color w:val="000000"/>
                <w:kern w:val="0"/>
                <w:sz w:val="24"/>
              </w:rPr>
            </w:pPr>
            <w:r>
              <w:rPr>
                <w:rFonts w:hint="eastAsia" w:ascii="宋体" w:hAnsi="宋体" w:cs="仿宋"/>
                <w:color w:val="000000"/>
                <w:kern w:val="0"/>
                <w:sz w:val="24"/>
              </w:rPr>
              <w:t>在重要保障时期，安全运营服务可帮助组织防范网络安全重大风险，遏制网络安全重大事故，全力做好期间网络安全保障工作。</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一、服务内容</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1、运营成熟度评估</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1.1、资产识别与梳理</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资产发现与识别：借助安全工具对用户资产进行全面发现和深度识别，并在后续服务过程中触发资产变更等相关服务流程，确保安全运营中心中资产信息的准确性和全面性。</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资产信息梳理与管理：结合安全工具发现的资产信息，首次进行服务范围内资产的全面梳理，并将信息录入到安全运营平台中进行管理；</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1.2、安全现状评估：包含脆弱性、病毒类事件、攻击行为、失陷类事件等安全现状的评估</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1.3、问题处置：建立安全事件的进度监控机制，现场T1上门提供首次处置服务。</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1.4、运营能力评估</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安全调查：采用线上调查问卷的方式，调研用户是否具备资产管理、漏洞管理、威胁监测技术、风险评估、应急预案等方面的信息安全措施。</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安全运营能力成熟度评估：采用线下访谈的方式，对用户信息安全措施进行调研评估。内容包含管理策略、资产管理、漏洞管理、威胁监测、威胁情报、风险评估、应急预案管理、安全事件管理。并根据调研的内容输出安全运营能力成熟度。</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安全运营能力成熟度解读：结合评估出的安全运营能力成熟度以及客户业务，提供安全能力差距分析报告解读。</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2、持续有效运营</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2.1、漏洞管理</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漏洞分析与管理：通过漏洞扫描工具识别系统安全漏洞，结合多种信息对识别的漏洞进行优先级排序，最后提出切实可行的漏洞修复指导。同时，借助漏洞跟踪管理平台，可以有效地追踪资产漏洞生命周期，清楚地掌握资产的脆弱性状况，实现漏洞全生命周期的可视、可控和可管。</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弱口令分析与管理：实现信息化资产不同应用弱口令猜解检测，如：SMB、Mssql、Mysql、Oracle、smtp、VNC、ftp、telnet、ssh、mysql、tomcat等。</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针对不同行业提供行业密码字典，有针对性的进行内网弱口令检测，并将检测发现的问题通过工单系统跟踪修复状态。</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最新漏洞预警与响应（可选）：梳理重要业务资产的详细信息，形成设备指纹后导入到漏洞管理平台中，实时抓取互联网最新漏洞与详细资产信息进行匹配，对最新漏洞进行预警与排查，提供最新漏洞的修复指导。</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漏洞协助处置（可选）：输出可行的漏洞处置方案，客户审核通过后，由服务人员协助用户对漏洞进行验证处置工作，并对已修复后的漏洞进行复测，帮助服务使用方将漏洞的影响降到可接受范围内。</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2.2、威胁管理</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威胁分析与通告：实时监测网络安全状态，对攻击事件自动化生成工单,及时进行分析与预警。攻击事件包含境外黑客攻击事件、高级黑客攻击事件、持续攻击事件。实时监测网络安全状态，对病毒事件自动化生成工单,及时进行分析与预警。病毒类型包含勒索型、流行病毒、挖矿型、蠕虫型、外发DOS型、C&amp;C访问型、文件感染型、木马型。</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流行威胁通告与排查：结合威胁情报，安全专家排查是否对用户资产造成威胁并通知用户，协助及时进行安全加固</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主动分析与响应：每月主动分析病毒类、攻击类、漏洞利用类、失陷类的安全事件，并提供相应解决方案。</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策略管理：安全专家每月对安全组件上的安全策略进行统一管理工作，确保安全组件上的安全策略始终处于最优水平，针对威胁能起到最好的防护效果。</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持续攻击对抗：通过攻击日志分析，发现持续性攻击，立即采取行动实时对抗。</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2.3、事件管理</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事件分析与处置：实时针对异常流量分析、攻击日志和病毒日志分析，经过海量数据脱敏、聚合发现安全事件。</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针对分析得到的勒索病毒、挖矿病毒、篡改事件、webshell、僵尸网络等安全事件，通过工具和方法对恶意文件、代码进行根除，帮助客户快速恢复业务，消除或减轻影响。</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应急响应：通过事件检测分析，提供抑制手段，降低入侵影响，协助快速恢复业务，同时还原攻击路径，分析入侵事件原因，指导用户进行安全加固、提供整改建议、防止再次入侵。</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2.4、脆弱性管理</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脆弱性扫描与验证：投标方需提供不少于每月一次针对服务范围内的资产的系统脆弱性和Web漏洞进行全量扫描，并针对发现的脆弱性进行验证，验证脆弱性在已有的安全体系发生的风险及分析发生后可造成的危害。</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优先级排序：投标方需提供客观的修复优先级指导，不能以脆弱性危害等级作为唯一的修复优先级排序依据。排序依据包含但不限于资产重要性、漏洞等级以及威胁情报（漏洞被利用的可能性）三个维度（证明提供脆弱性优先级排序截图，展示优先级排序情况）</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脆弱性验证：提供脆弱性验证服务，针对发现的脆弱性问题进行验证，验证脆弱性在已有的安全体系发生的风险及分析发生后可造成的危害。针对已经验证的脆弱性，自动生成工单，安全专家跟进脆弱性状态，各个处理进度透明，方便招标方清晰了解当前脆弱性的处置状态，将脆弱性处理工作可视化（证明提供服务工具脆弱性工单截图，需展示当前脆弱性的处置状态）</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b/>
                <w:bCs/>
                <w:color w:val="000000"/>
                <w:kern w:val="0"/>
                <w:sz w:val="24"/>
              </w:rPr>
              <w:t>服务催单：</w:t>
            </w:r>
            <w:r>
              <w:rPr>
                <w:rFonts w:hint="eastAsia" w:ascii="宋体" w:hAnsi="宋体" w:cs="仿宋"/>
                <w:color w:val="000000"/>
                <w:kern w:val="0"/>
                <w:sz w:val="24"/>
              </w:rPr>
              <w:t>针对服务平台生成的工单，招标方可按需催单，用户可在服务平台上采用邮件等方式提醒安全专家加快协助处置，督促投标方第一时间处理（证明投标方应提供服务平台脆弱性工单处置提醒的功能截图）</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脆弱性复测：需提供脆弱性复测措施，及时检验脆弱性真实修复情况。投标方要支持招标方可按需针对指定脆弱性问题，指定资产等小范围进行，降低脆弱性复测时的潜在影响范围（证明提供服务平台支持指定批量脆弱性复测与单个脆弱性问题复测的功能截图）</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脆弱性状态总览：对发现的脆弱性建立状态总览机制，自动化持续跟踪脆弱性情况，清晰直观地展示脆弱性的修复情况，遗留情况以及脆弱性对比情况，使得招标方可做到脆弱性的可视、可管、可控（证明提供脆弱性管理功能平台截图，直观展示脆弱性管理情况）</w:t>
            </w:r>
          </w:p>
        </w:tc>
      </w:tr>
    </w:tbl>
    <w:p>
      <w:pPr>
        <w:pStyle w:val="4"/>
        <w:spacing w:line="360" w:lineRule="auto"/>
        <w:ind w:firstLine="0" w:firstLineChars="0"/>
        <w:rPr>
          <w:rFonts w:ascii="宋体" w:hAnsi="宋体" w:cs="仿宋"/>
          <w:b/>
          <w:sz w:val="24"/>
        </w:rPr>
      </w:pPr>
    </w:p>
    <w:p>
      <w:pPr>
        <w:pStyle w:val="3"/>
        <w:spacing w:line="360" w:lineRule="auto"/>
        <w:ind w:firstLine="236" w:firstLineChars="98"/>
        <w:rPr>
          <w:rFonts w:ascii="宋体" w:hAnsi="宋体" w:cs="仿宋"/>
          <w:szCs w:val="24"/>
        </w:rPr>
      </w:pPr>
      <w:r>
        <w:rPr>
          <w:rFonts w:hint="eastAsia" w:ascii="宋体" w:hAnsi="宋体" w:cs="仿宋"/>
          <w:szCs w:val="24"/>
        </w:rPr>
        <w:t>（3）安全风险评估</w:t>
      </w:r>
    </w:p>
    <w:tbl>
      <w:tblPr>
        <w:tblStyle w:val="8"/>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96"/>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3" w:type="dxa"/>
            <w:tcBorders>
              <w:top w:val="single" w:color="auto" w:sz="4" w:space="0"/>
              <w:left w:val="single" w:color="auto" w:sz="4" w:space="0"/>
              <w:bottom w:val="single" w:color="auto" w:sz="4" w:space="0"/>
              <w:right w:val="single" w:color="auto" w:sz="4" w:space="0"/>
            </w:tcBorders>
            <w:shd w:val="clear" w:color="auto" w:fill="44546A"/>
            <w:vAlign w:val="center"/>
          </w:tcPr>
          <w:p>
            <w:pPr>
              <w:jc w:val="center"/>
              <w:rPr>
                <w:rFonts w:ascii="宋体" w:hAnsi="宋体" w:cs="仿宋"/>
                <w:b/>
                <w:bCs/>
                <w:color w:val="FFFFFF"/>
                <w:sz w:val="24"/>
              </w:rPr>
            </w:pPr>
            <w:r>
              <w:rPr>
                <w:rFonts w:hint="eastAsia" w:ascii="宋体" w:hAnsi="宋体" w:cs="仿宋"/>
                <w:b/>
                <w:bCs/>
                <w:color w:val="FFFFFF"/>
                <w:sz w:val="24"/>
              </w:rPr>
              <w:t>服务类</w:t>
            </w:r>
          </w:p>
        </w:tc>
        <w:tc>
          <w:tcPr>
            <w:tcW w:w="825" w:type="dxa"/>
            <w:tcBorders>
              <w:top w:val="single" w:color="auto" w:sz="4" w:space="0"/>
              <w:left w:val="single" w:color="auto" w:sz="4" w:space="0"/>
              <w:bottom w:val="single" w:color="auto" w:sz="4" w:space="0"/>
              <w:right w:val="single" w:color="auto" w:sz="4" w:space="0"/>
            </w:tcBorders>
            <w:shd w:val="clear" w:color="auto" w:fill="44546A"/>
            <w:vAlign w:val="center"/>
          </w:tcPr>
          <w:p>
            <w:pPr>
              <w:jc w:val="center"/>
              <w:rPr>
                <w:rFonts w:ascii="宋体" w:hAnsi="宋体" w:cs="仿宋"/>
                <w:b/>
                <w:bCs/>
                <w:color w:val="FFFFFF"/>
                <w:sz w:val="24"/>
              </w:rPr>
            </w:pPr>
            <w:r>
              <w:rPr>
                <w:rFonts w:hint="eastAsia" w:ascii="宋体" w:hAnsi="宋体" w:cs="仿宋"/>
                <w:b/>
                <w:bCs/>
                <w:color w:val="FFFFFF"/>
                <w:sz w:val="24"/>
              </w:rPr>
              <w:t>技术类型</w:t>
            </w:r>
          </w:p>
        </w:tc>
        <w:tc>
          <w:tcPr>
            <w:tcW w:w="7463" w:type="dxa"/>
            <w:tcBorders>
              <w:top w:val="single" w:color="auto" w:sz="4" w:space="0"/>
              <w:left w:val="single" w:color="auto" w:sz="4" w:space="0"/>
              <w:bottom w:val="single" w:color="auto" w:sz="4" w:space="0"/>
              <w:right w:val="single" w:color="auto" w:sz="4" w:space="0"/>
            </w:tcBorders>
            <w:shd w:val="clear" w:color="auto" w:fill="44546A"/>
            <w:vAlign w:val="center"/>
          </w:tcPr>
          <w:p>
            <w:pPr>
              <w:pStyle w:val="16"/>
              <w:ind w:firstLine="0" w:firstLineChars="0"/>
              <w:jc w:val="center"/>
              <w:rPr>
                <w:rFonts w:ascii="宋体" w:hAnsi="宋体" w:cs="仿宋"/>
                <w:b/>
                <w:bCs/>
                <w:color w:val="FFFFFF"/>
                <w:kern w:val="0"/>
                <w:sz w:val="24"/>
              </w:rPr>
            </w:pPr>
            <w:r>
              <w:rPr>
                <w:rFonts w:hint="eastAsia" w:ascii="宋体" w:hAnsi="宋体" w:cs="仿宋"/>
                <w:b/>
                <w:bCs/>
                <w:color w:val="FFFFFF"/>
                <w:kern w:val="0"/>
                <w:sz w:val="24"/>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23" w:type="dxa"/>
            <w:vAlign w:val="center"/>
          </w:tcPr>
          <w:p>
            <w:pPr>
              <w:spacing w:line="360" w:lineRule="auto"/>
              <w:jc w:val="center"/>
              <w:rPr>
                <w:rFonts w:ascii="宋体" w:hAnsi="宋体" w:cs="仿宋"/>
                <w:color w:val="000000"/>
                <w:sz w:val="24"/>
              </w:rPr>
            </w:pPr>
            <w:r>
              <w:rPr>
                <w:rFonts w:hint="eastAsia" w:ascii="宋体" w:hAnsi="宋体" w:cs="仿宋"/>
                <w:color w:val="000000"/>
                <w:sz w:val="24"/>
              </w:rPr>
              <w:t>安全风险评估</w:t>
            </w:r>
          </w:p>
        </w:tc>
        <w:tc>
          <w:tcPr>
            <w:tcW w:w="825" w:type="dxa"/>
            <w:vAlign w:val="center"/>
          </w:tcPr>
          <w:p>
            <w:pPr>
              <w:spacing w:line="276" w:lineRule="auto"/>
              <w:jc w:val="center"/>
              <w:rPr>
                <w:rFonts w:ascii="宋体" w:hAnsi="宋体" w:cs="仿宋"/>
                <w:color w:val="000000"/>
                <w:sz w:val="24"/>
              </w:rPr>
            </w:pPr>
            <w:r>
              <w:rPr>
                <w:rFonts w:hint="eastAsia" w:ascii="宋体" w:hAnsi="宋体" w:cs="仿宋"/>
                <w:color w:val="000000"/>
                <w:sz w:val="24"/>
              </w:rPr>
              <w:t>服务内容</w:t>
            </w:r>
          </w:p>
        </w:tc>
        <w:tc>
          <w:tcPr>
            <w:tcW w:w="7463" w:type="dxa"/>
            <w:vAlign w:val="center"/>
          </w:tcPr>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一、服务概述：</w:t>
            </w:r>
          </w:p>
          <w:p>
            <w:pPr>
              <w:pStyle w:val="16"/>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服务工程师通过自研工具对组织信息资产面临的威胁、存在的脆弱性、现有防护措施及综合作用而带来风险的发生可能性进行评估，最终提供完整的风险评估报告及修复建议。</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二、具体服务内容：</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1.资产识别 </w:t>
            </w:r>
          </w:p>
          <w:p>
            <w:pPr>
              <w:pStyle w:val="16"/>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使用工具对包括：业务系统、服务器、安全设备、网络设备等进行自动化扫描发现、识别、评估，可覆盖所有的资产，根据业务对资产的实际依赖程度区分重要资产，脆弱性识别、威胁识别、风险分析等后期工作将针对重要资产进行识别；</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2.脆弱性评估 </w:t>
            </w:r>
          </w:p>
          <w:p>
            <w:pPr>
              <w:pStyle w:val="16"/>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弱点存在于物理环境、硬件、软件、业务系统等各个方面，这些都可能被各种安全威胁利用来侵害用户的资产，让资产的价值受损。主要工作如下：</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漏洞扫描：使用工具的漏洞扫描功能，快速从内网和外网两个角度来查找网络结构、网络设备、服务器主机、数据和用户账号/口令等安全对象目标存在的安全漏洞，并给出关于安全隐患的详细信息；</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基线配置核查：使用工具的基线配置核查功能识别信息系统的安全配置情况；</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3.威胁评估 </w:t>
            </w:r>
          </w:p>
          <w:p>
            <w:pPr>
              <w:pStyle w:val="16"/>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分析用户信息系统存在的威胁种类，确定威胁分类的标准；综合威胁来源、种类和其他因素后得出威胁列表；针对每项需要保护的信息资产，尽可能全面的发现资产所面临的威胁；</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4.防护能力评估 </w:t>
            </w:r>
          </w:p>
          <w:p>
            <w:pPr>
              <w:pStyle w:val="16"/>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识别已有的安全控制措施，分析安全措施的有效性，确定威胁利用弱点的实际可能性，指出当前安全措施的不足；</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5.风险分析 </w:t>
            </w:r>
          </w:p>
          <w:p>
            <w:pPr>
              <w:pStyle w:val="16"/>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综合考虑资产本身的价值、威胁发生几率、脆弱性的破坏力、现有防护能力等因素分析资产可能存在的安全风险，结合风险对业务战略的影响程度区别明确风险处置计划；</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6.风险评估报告 </w:t>
            </w:r>
          </w:p>
          <w:p>
            <w:pPr>
              <w:pStyle w:val="16"/>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根据资产识别、脆弱性评估、威胁评估、防护能力评估的输出结果进行风险分析之后，通过工具输出风险评估报告，风险评估报告中为用户提供符合业务需求的安全整改建议。</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三、服务交付物</w:t>
            </w:r>
          </w:p>
          <w:p>
            <w:pPr>
              <w:pStyle w:val="16"/>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《风险评估报告》</w:t>
            </w:r>
          </w:p>
        </w:tc>
      </w:tr>
    </w:tbl>
    <w:p>
      <w:pPr>
        <w:spacing w:line="360" w:lineRule="auto"/>
        <w:rPr>
          <w:rFonts w:ascii="宋体" w:hAnsi="宋体"/>
          <w:sz w:val="24"/>
        </w:rPr>
      </w:pPr>
    </w:p>
    <w:p>
      <w:pPr>
        <w:pStyle w:val="3"/>
        <w:spacing w:line="360" w:lineRule="auto"/>
        <w:ind w:firstLine="236" w:firstLineChars="98"/>
        <w:rPr>
          <w:rFonts w:ascii="宋体" w:hAnsi="宋体" w:cs="仿宋"/>
          <w:szCs w:val="24"/>
        </w:rPr>
      </w:pPr>
      <w:r>
        <w:rPr>
          <w:rFonts w:hint="eastAsia" w:ascii="宋体" w:hAnsi="宋体" w:cs="仿宋"/>
          <w:szCs w:val="24"/>
        </w:rPr>
        <w:t>★2</w:t>
      </w:r>
      <w:r>
        <w:rPr>
          <w:rFonts w:ascii="宋体" w:hAnsi="宋体" w:cs="仿宋"/>
          <w:szCs w:val="24"/>
        </w:rPr>
        <w:t>.3</w:t>
      </w:r>
      <w:r>
        <w:rPr>
          <w:rFonts w:hint="eastAsia" w:ascii="宋体" w:hAnsi="宋体" w:cs="仿宋"/>
          <w:szCs w:val="24"/>
        </w:rPr>
        <w:t>成果要求</w:t>
      </w:r>
    </w:p>
    <w:p>
      <w:pPr>
        <w:spacing w:line="360" w:lineRule="auto"/>
        <w:ind w:firstLine="482" w:firstLineChars="200"/>
        <w:rPr>
          <w:rFonts w:ascii="宋体" w:hAnsi="宋体" w:cs="宋体"/>
          <w:sz w:val="24"/>
        </w:rPr>
      </w:pPr>
      <w:r>
        <w:rPr>
          <w:rFonts w:hint="eastAsia" w:ascii="宋体" w:hAnsi="宋体" w:cs="宋体"/>
          <w:b/>
          <w:bCs/>
          <w:sz w:val="24"/>
        </w:rPr>
        <w:t>全网潜伏安全威胁分析和安全加固：</w:t>
      </w:r>
      <w:r>
        <w:rPr>
          <w:rFonts w:hint="eastAsia" w:ascii="宋体" w:hAnsi="宋体" w:cs="宋体"/>
          <w:sz w:val="24"/>
        </w:rPr>
        <w:t>本阶段需要提交的文档包括但不限于：《四川省妇幼保健院威胁分析报告》《四川省妇幼保健院安全应对措施整改建议书》。上述正式报告需提供：电子档、纸质文档。其中若涉及到有过程文档、原始数据文档、测试用例文档等相关辅助性文档均提供电子档。</w:t>
      </w:r>
    </w:p>
    <w:p>
      <w:pPr>
        <w:pStyle w:val="2"/>
        <w:spacing w:after="0" w:line="360" w:lineRule="auto"/>
        <w:ind w:firstLine="482" w:firstLineChars="200"/>
        <w:rPr>
          <w:rFonts w:ascii="宋体" w:hAnsi="宋体" w:cs="宋体"/>
          <w:sz w:val="24"/>
        </w:rPr>
      </w:pPr>
      <w:r>
        <w:rPr>
          <w:rFonts w:hint="eastAsia" w:ascii="宋体" w:hAnsi="宋体" w:cs="宋体"/>
          <w:b/>
          <w:bCs/>
          <w:sz w:val="24"/>
        </w:rPr>
        <w:t>安全运营服务：</w:t>
      </w:r>
      <w:r>
        <w:rPr>
          <w:sz w:val="24"/>
        </w:rPr>
        <w:t>本阶段需要提交的文档包括但不限于：《安全服务运营报告》、《首次威胁分析与处置报告》、《事件分析与处置报告》、《安全通告》、《综合分析报告》</w:t>
      </w:r>
      <w:r>
        <w:rPr>
          <w:rFonts w:hint="eastAsia"/>
          <w:sz w:val="24"/>
        </w:rPr>
        <w:t>。</w:t>
      </w:r>
      <w:r>
        <w:rPr>
          <w:rFonts w:hint="eastAsia" w:ascii="宋体" w:hAnsi="宋体" w:cs="宋体"/>
          <w:sz w:val="24"/>
        </w:rPr>
        <w:t>上述正式报告需提供：电子档、纸质文档。其中若涉及到有过程文档、原始数据文档、测试用例文档等相关辅助性文档均提供电子档。</w:t>
      </w:r>
    </w:p>
    <w:p>
      <w:pPr>
        <w:pStyle w:val="4"/>
        <w:spacing w:line="360" w:lineRule="auto"/>
        <w:ind w:firstLine="482"/>
        <w:rPr>
          <w:rFonts w:ascii="宋体" w:hAnsi="宋体" w:cs="宋体"/>
          <w:sz w:val="24"/>
        </w:rPr>
      </w:pPr>
      <w:r>
        <w:rPr>
          <w:rFonts w:hint="eastAsia" w:ascii="宋体" w:hAnsi="宋体" w:cs="宋体"/>
          <w:b/>
          <w:bCs/>
          <w:sz w:val="24"/>
        </w:rPr>
        <w:t>安全风险评估：</w:t>
      </w:r>
      <w:r>
        <w:rPr>
          <w:rFonts w:ascii="宋体" w:hAnsi="宋体" w:cs="宋体"/>
          <w:sz w:val="24"/>
        </w:rPr>
        <w:t>本阶段需要提交的文档包括但不限于：《四川省妇幼保健院风险评估报告》</w:t>
      </w:r>
      <w:r>
        <w:rPr>
          <w:rFonts w:hint="eastAsia" w:ascii="宋体" w:hAnsi="宋体" w:cs="宋体"/>
          <w:sz w:val="24"/>
        </w:rPr>
        <w:t>。上述正式报告需提供：电子档、纸质文档。其中若涉及到有过程文档、原始数据文档、测试用例文档等相关辅助性文档均提供电子档。</w:t>
      </w:r>
    </w:p>
    <w:p>
      <w:pPr>
        <w:pStyle w:val="3"/>
        <w:spacing w:line="360" w:lineRule="auto"/>
        <w:ind w:firstLine="236" w:firstLineChars="98"/>
        <w:rPr>
          <w:rFonts w:ascii="宋体" w:hAnsi="宋体" w:cs="仿宋"/>
          <w:szCs w:val="24"/>
        </w:rPr>
      </w:pPr>
      <w:r>
        <w:rPr>
          <w:rFonts w:hint="eastAsia" w:ascii="宋体" w:hAnsi="宋体" w:cs="仿宋"/>
          <w:szCs w:val="24"/>
        </w:rPr>
        <w:t>★</w:t>
      </w:r>
      <w:r>
        <w:rPr>
          <w:rFonts w:ascii="宋体" w:hAnsi="宋体" w:cs="仿宋"/>
          <w:szCs w:val="24"/>
        </w:rPr>
        <w:t>2.4</w:t>
      </w:r>
      <w:r>
        <w:rPr>
          <w:rFonts w:hint="eastAsia" w:ascii="宋体" w:hAnsi="宋体" w:cs="仿宋"/>
          <w:szCs w:val="24"/>
        </w:rPr>
        <w:t>保密要求</w:t>
      </w:r>
    </w:p>
    <w:p>
      <w:pPr>
        <w:pStyle w:val="4"/>
        <w:spacing w:line="360" w:lineRule="auto"/>
        <w:ind w:firstLine="480"/>
        <w:rPr>
          <w:sz w:val="24"/>
        </w:rPr>
      </w:pPr>
      <w:r>
        <w:rPr>
          <w:rFonts w:hint="eastAsia"/>
          <w:sz w:val="24"/>
        </w:rPr>
        <w:t>投标人对过程文档、原始数据文档、测试用例文档、最终成果资料等与本项目有关的所有资料要严格保密，不得以任何形式对第三方泄露。投标人对此提供承诺函，格式自拟。</w:t>
      </w:r>
    </w:p>
    <w:p>
      <w:pPr>
        <w:pStyle w:val="3"/>
        <w:spacing w:line="360" w:lineRule="auto"/>
        <w:ind w:firstLine="236" w:firstLineChars="98"/>
        <w:rPr>
          <w:rFonts w:ascii="宋体" w:hAnsi="宋体" w:cs="仿宋"/>
          <w:szCs w:val="24"/>
        </w:rPr>
      </w:pPr>
      <w:r>
        <w:rPr>
          <w:rFonts w:hint="eastAsia" w:ascii="宋体" w:hAnsi="宋体" w:cs="仿宋"/>
          <w:szCs w:val="24"/>
        </w:rPr>
        <w:t>三、商务要求</w:t>
      </w:r>
    </w:p>
    <w:p>
      <w:pPr>
        <w:spacing w:line="500" w:lineRule="exact"/>
        <w:ind w:firstLine="482" w:firstLineChars="200"/>
        <w:rPr>
          <w:rFonts w:ascii="宋体" w:hAnsi="宋体" w:cs="宋体"/>
          <w:b/>
          <w:bCs/>
          <w:color w:val="191F25"/>
          <w:sz w:val="24"/>
          <w:shd w:val="clear" w:color="auto" w:fill="FFFFFF"/>
        </w:rPr>
      </w:pPr>
      <w:r>
        <w:rPr>
          <w:rFonts w:hint="eastAsia" w:ascii="宋体" w:hAnsi="宋体" w:cs="宋体"/>
          <w:b/>
          <w:bCs/>
          <w:color w:val="191F25"/>
          <w:sz w:val="24"/>
          <w:shd w:val="clear" w:color="auto" w:fill="FFFFFF"/>
        </w:rPr>
        <w:t>★</w:t>
      </w:r>
      <w:r>
        <w:rPr>
          <w:rFonts w:ascii="宋体" w:hAnsi="宋体" w:cs="宋体"/>
          <w:b/>
          <w:bCs/>
          <w:color w:val="191F25"/>
          <w:sz w:val="24"/>
          <w:shd w:val="clear" w:color="auto" w:fill="FFFFFF"/>
        </w:rPr>
        <w:t>1.</w:t>
      </w:r>
      <w:r>
        <w:rPr>
          <w:rFonts w:hint="eastAsia" w:ascii="宋体" w:hAnsi="宋体" w:cs="宋体"/>
          <w:b/>
          <w:bCs/>
          <w:color w:val="191F25"/>
          <w:sz w:val="24"/>
          <w:shd w:val="clear" w:color="auto" w:fill="FFFFFF"/>
        </w:rPr>
        <w:t>服务期限及服务地点:</w:t>
      </w:r>
    </w:p>
    <w:p>
      <w:pPr>
        <w:spacing w:line="500" w:lineRule="exact"/>
        <w:ind w:firstLine="480" w:firstLineChars="200"/>
        <w:rPr>
          <w:rFonts w:ascii="宋体" w:hAnsi="宋体" w:cs="宋体"/>
          <w:color w:val="191F25"/>
          <w:sz w:val="24"/>
          <w:shd w:val="clear" w:color="auto" w:fill="FFFFFF"/>
        </w:rPr>
      </w:pPr>
      <w:r>
        <w:rPr>
          <w:rFonts w:hint="eastAsia" w:ascii="宋体" w:hAnsi="宋体" w:cs="宋体"/>
          <w:color w:val="191F25"/>
          <w:sz w:val="24"/>
          <w:shd w:val="clear" w:color="auto" w:fill="FFFFFF"/>
        </w:rPr>
        <w:t xml:space="preserve">（1）服务期限：合同签订后40个工作日之内完成，并出具相关报告。 </w:t>
      </w:r>
    </w:p>
    <w:p>
      <w:pPr>
        <w:spacing w:line="500" w:lineRule="exact"/>
        <w:ind w:firstLine="480" w:firstLineChars="200"/>
        <w:rPr>
          <w:rFonts w:ascii="宋体" w:hAnsi="宋体" w:cs="宋体"/>
          <w:color w:val="191F25"/>
          <w:sz w:val="24"/>
          <w:shd w:val="clear" w:color="auto" w:fill="FFFFFF"/>
        </w:rPr>
      </w:pPr>
      <w:r>
        <w:rPr>
          <w:rFonts w:hint="eastAsia" w:ascii="宋体" w:hAnsi="宋体" w:cs="宋体"/>
          <w:color w:val="191F25"/>
          <w:sz w:val="24"/>
          <w:shd w:val="clear" w:color="auto" w:fill="FFFFFF"/>
        </w:rPr>
        <w:t>（2）服务地点:四川省妇幼保健院</w:t>
      </w:r>
    </w:p>
    <w:p>
      <w:pPr>
        <w:spacing w:line="500" w:lineRule="exact"/>
        <w:ind w:firstLine="482" w:firstLineChars="200"/>
        <w:rPr>
          <w:rFonts w:ascii="宋体" w:hAnsi="宋体" w:cs="宋体"/>
          <w:color w:val="191F25"/>
          <w:sz w:val="24"/>
          <w:shd w:val="clear" w:color="auto" w:fill="FFFFFF"/>
        </w:rPr>
      </w:pPr>
      <w:r>
        <w:rPr>
          <w:rFonts w:hint="eastAsia" w:ascii="宋体" w:hAnsi="宋体" w:cs="宋体"/>
          <w:b/>
          <w:bCs/>
          <w:color w:val="191F25"/>
          <w:sz w:val="24"/>
          <w:shd w:val="clear" w:color="auto" w:fill="FFFFFF"/>
        </w:rPr>
        <w:t>★</w:t>
      </w:r>
      <w:r>
        <w:rPr>
          <w:rFonts w:ascii="宋体" w:hAnsi="宋体" w:cs="宋体"/>
          <w:b/>
          <w:bCs/>
          <w:color w:val="191F25"/>
          <w:sz w:val="24"/>
          <w:shd w:val="clear" w:color="auto" w:fill="FFFFFF"/>
        </w:rPr>
        <w:t>2.</w:t>
      </w:r>
      <w:r>
        <w:rPr>
          <w:rFonts w:hint="eastAsia" w:ascii="宋体" w:hAnsi="宋体" w:cs="宋体"/>
          <w:b/>
          <w:bCs/>
          <w:color w:val="191F25"/>
          <w:sz w:val="24"/>
          <w:shd w:val="clear" w:color="auto" w:fill="FFFFFF"/>
        </w:rPr>
        <w:t>付款方式：</w:t>
      </w:r>
    </w:p>
    <w:p>
      <w:pPr>
        <w:spacing w:line="500" w:lineRule="exact"/>
        <w:ind w:firstLine="480" w:firstLineChars="200"/>
        <w:rPr>
          <w:rFonts w:hint="eastAsia" w:ascii="宋体" w:hAnsi="宋体" w:cs="宋体"/>
          <w:color w:val="191F25"/>
          <w:sz w:val="24"/>
          <w:shd w:val="clear" w:color="auto" w:fill="FFFFFF"/>
          <w:lang w:val="en-US" w:eastAsia="zh-CN"/>
        </w:rPr>
      </w:pPr>
      <w:r>
        <w:rPr>
          <w:rFonts w:hint="eastAsia" w:ascii="宋体" w:hAnsi="宋体" w:cs="宋体"/>
          <w:color w:val="191F25"/>
          <w:sz w:val="24"/>
          <w:shd w:val="clear" w:color="auto" w:fill="FFFFFF"/>
          <w:lang w:val="en-US" w:eastAsia="zh-CN"/>
        </w:rPr>
        <w:t>分2次付款：</w:t>
      </w:r>
    </w:p>
    <w:p>
      <w:pPr>
        <w:numPr>
          <w:ilvl w:val="0"/>
          <w:numId w:val="1"/>
        </w:numPr>
        <w:spacing w:line="500" w:lineRule="exact"/>
        <w:ind w:firstLine="480" w:firstLineChars="200"/>
        <w:rPr>
          <w:rFonts w:hint="eastAsia" w:ascii="宋体" w:hAnsi="宋体" w:cs="宋体"/>
          <w:color w:val="191F25"/>
          <w:sz w:val="24"/>
          <w:shd w:val="clear" w:color="auto" w:fill="FFFFFF"/>
        </w:rPr>
      </w:pPr>
      <w:r>
        <w:rPr>
          <w:rFonts w:hint="eastAsia" w:ascii="宋体" w:hAnsi="宋体" w:cs="宋体"/>
          <w:color w:val="191F25"/>
          <w:sz w:val="24"/>
          <w:shd w:val="clear" w:color="auto" w:fill="FFFFFF"/>
        </w:rPr>
        <w:t>合同签订后</w:t>
      </w:r>
      <w:r>
        <w:rPr>
          <w:rFonts w:hint="eastAsia" w:ascii="宋体" w:hAnsi="宋体" w:cs="宋体"/>
          <w:color w:val="191F25"/>
          <w:sz w:val="24"/>
          <w:shd w:val="clear" w:color="auto" w:fill="FFFFFF"/>
          <w:lang w:eastAsia="zh-CN"/>
        </w:rPr>
        <w:t>，</w:t>
      </w:r>
      <w:r>
        <w:rPr>
          <w:rFonts w:hint="eastAsia" w:ascii="宋体" w:hAnsi="宋体" w:cs="宋体"/>
          <w:color w:val="191F25"/>
          <w:sz w:val="24"/>
          <w:shd w:val="clear" w:color="auto" w:fill="FFFFFF"/>
          <w:lang w:val="en-US" w:eastAsia="zh-CN"/>
        </w:rPr>
        <w:t>投标人提交全额</w:t>
      </w:r>
      <w:r>
        <w:rPr>
          <w:rFonts w:hint="eastAsia" w:ascii="宋体" w:hAnsi="宋体" w:cs="宋体"/>
          <w:color w:val="191F25"/>
          <w:sz w:val="24"/>
          <w:shd w:val="clear" w:color="auto" w:fill="FFFFFF"/>
        </w:rPr>
        <w:t>增值税</w:t>
      </w:r>
      <w:r>
        <w:rPr>
          <w:rFonts w:hint="eastAsia" w:ascii="宋体" w:hAnsi="宋体" w:cs="宋体"/>
          <w:color w:val="191F25"/>
          <w:sz w:val="24"/>
          <w:shd w:val="clear" w:color="auto" w:fill="FFFFFF"/>
          <w:lang w:val="en-US" w:eastAsia="zh-CN"/>
        </w:rPr>
        <w:t>发票及书面申请，采购人</w:t>
      </w:r>
      <w:r>
        <w:rPr>
          <w:rFonts w:hint="eastAsia" w:ascii="宋体" w:hAnsi="宋体" w:cs="宋体"/>
          <w:color w:val="191F25"/>
          <w:sz w:val="24"/>
          <w:shd w:val="clear" w:color="auto" w:fill="FFFFFF"/>
        </w:rPr>
        <w:t>向投标人支付合同金额的</w:t>
      </w:r>
      <w:r>
        <w:rPr>
          <w:rFonts w:hint="eastAsia" w:ascii="宋体" w:hAnsi="宋体" w:cs="宋体"/>
          <w:color w:val="191F25"/>
          <w:sz w:val="24"/>
          <w:shd w:val="clear" w:color="auto" w:fill="FFFFFF"/>
          <w:lang w:val="en-US" w:eastAsia="zh-CN"/>
        </w:rPr>
        <w:t>6</w:t>
      </w:r>
      <w:r>
        <w:rPr>
          <w:rFonts w:ascii="宋体" w:hAnsi="宋体" w:cs="宋体"/>
          <w:color w:val="191F25"/>
          <w:sz w:val="24"/>
          <w:shd w:val="clear" w:color="auto" w:fill="FFFFFF"/>
        </w:rPr>
        <w:t>0</w:t>
      </w:r>
      <w:r>
        <w:rPr>
          <w:rFonts w:hint="eastAsia" w:ascii="宋体" w:hAnsi="宋体" w:cs="宋体"/>
          <w:color w:val="191F25"/>
          <w:sz w:val="24"/>
          <w:shd w:val="clear" w:color="auto" w:fill="FFFFFF"/>
        </w:rPr>
        <w:t>%</w:t>
      </w:r>
      <w:r>
        <w:rPr>
          <w:rFonts w:hint="eastAsia" w:ascii="宋体" w:hAnsi="宋体" w:cs="宋体"/>
          <w:color w:val="191F25"/>
          <w:sz w:val="24"/>
          <w:shd w:val="clear" w:color="auto" w:fill="FFFFFF"/>
          <w:lang w:eastAsia="zh-CN"/>
        </w:rPr>
        <w:t>。</w:t>
      </w:r>
    </w:p>
    <w:p>
      <w:pPr>
        <w:numPr>
          <w:ilvl w:val="0"/>
          <w:numId w:val="1"/>
        </w:numPr>
        <w:spacing w:line="500" w:lineRule="exact"/>
        <w:ind w:firstLine="480" w:firstLineChars="200"/>
        <w:rPr>
          <w:rFonts w:ascii="宋体" w:hAnsi="宋体" w:cs="宋体"/>
          <w:color w:val="191F25"/>
          <w:sz w:val="24"/>
          <w:shd w:val="clear" w:color="auto" w:fill="FFFFFF"/>
        </w:rPr>
      </w:pPr>
      <w:r>
        <w:rPr>
          <w:rFonts w:hint="eastAsia" w:ascii="宋体" w:hAnsi="宋体" w:cs="宋体"/>
          <w:color w:val="191F25"/>
          <w:sz w:val="24"/>
          <w:shd w:val="clear" w:color="auto" w:fill="FFFFFF"/>
        </w:rPr>
        <w:t>验收合格后</w:t>
      </w:r>
      <w:r>
        <w:rPr>
          <w:rFonts w:hint="eastAsia" w:ascii="宋体" w:hAnsi="宋体" w:cs="宋体"/>
          <w:color w:val="191F25"/>
          <w:sz w:val="24"/>
          <w:shd w:val="clear" w:color="auto" w:fill="FFFFFF"/>
          <w:lang w:eastAsia="zh-CN"/>
        </w:rPr>
        <w:t>，</w:t>
      </w:r>
      <w:r>
        <w:rPr>
          <w:rFonts w:hint="eastAsia" w:ascii="宋体" w:hAnsi="宋体" w:cs="宋体"/>
          <w:color w:val="191F25"/>
          <w:sz w:val="24"/>
          <w:shd w:val="clear" w:color="auto" w:fill="FFFFFF"/>
          <w:lang w:val="en-US" w:eastAsia="zh-CN"/>
        </w:rPr>
        <w:t>投标人书面申请，</w:t>
      </w:r>
      <w:r>
        <w:rPr>
          <w:rFonts w:hint="eastAsia" w:ascii="宋体" w:hAnsi="宋体" w:cs="宋体"/>
          <w:color w:val="191F25"/>
          <w:sz w:val="24"/>
          <w:shd w:val="clear" w:color="auto" w:fill="FFFFFF"/>
        </w:rPr>
        <w:t>采购人向投标人支付剩余</w:t>
      </w:r>
      <w:r>
        <w:rPr>
          <w:rFonts w:hint="eastAsia" w:ascii="宋体" w:hAnsi="宋体" w:cs="宋体"/>
          <w:color w:val="191F25"/>
          <w:sz w:val="24"/>
          <w:shd w:val="clear" w:color="auto" w:fill="FFFFFF"/>
          <w:lang w:val="en-US" w:eastAsia="zh-CN"/>
        </w:rPr>
        <w:t>4</w:t>
      </w:r>
      <w:bookmarkStart w:id="4" w:name="_GoBack"/>
      <w:bookmarkEnd w:id="4"/>
      <w:r>
        <w:rPr>
          <w:rFonts w:hint="eastAsia" w:ascii="宋体" w:hAnsi="宋体" w:cs="宋体"/>
          <w:color w:val="191F25"/>
          <w:sz w:val="24"/>
          <w:shd w:val="clear" w:color="auto" w:fill="FFFFFF"/>
        </w:rPr>
        <w:t>0%。</w:t>
      </w:r>
    </w:p>
    <w:p>
      <w:pPr>
        <w:pStyle w:val="2"/>
        <w:spacing w:after="0" w:line="500" w:lineRule="exact"/>
        <w:ind w:firstLine="482" w:firstLineChars="200"/>
        <w:rPr>
          <w:rFonts w:ascii="宋体" w:hAnsi="宋体" w:cs="宋体"/>
          <w:b/>
          <w:bCs/>
          <w:color w:val="191F25"/>
          <w:sz w:val="24"/>
          <w:shd w:val="clear" w:color="auto" w:fill="FFFFFF"/>
        </w:rPr>
      </w:pPr>
      <w:r>
        <w:rPr>
          <w:rFonts w:ascii="宋体" w:hAnsi="宋体" w:cs="宋体"/>
          <w:b/>
          <w:bCs/>
          <w:color w:val="191F25"/>
          <w:sz w:val="24"/>
          <w:shd w:val="clear" w:color="auto" w:fill="FFFFFF"/>
        </w:rPr>
        <w:t>3.</w:t>
      </w:r>
      <w:r>
        <w:rPr>
          <w:rFonts w:hint="eastAsia" w:ascii="宋体" w:hAnsi="宋体" w:cs="宋体"/>
          <w:b/>
          <w:bCs/>
          <w:color w:val="191F25"/>
          <w:sz w:val="24"/>
          <w:shd w:val="clear" w:color="auto" w:fill="FFFFFF"/>
        </w:rPr>
        <w:t>验收要求</w:t>
      </w:r>
    </w:p>
    <w:p>
      <w:pPr>
        <w:pStyle w:val="17"/>
        <w:spacing w:line="360" w:lineRule="auto"/>
        <w:ind w:firstLine="480"/>
      </w:pPr>
      <w:r>
        <w:rPr>
          <w:rFonts w:hint="eastAsia"/>
          <w:sz w:val="24"/>
          <w:szCs w:val="24"/>
        </w:rPr>
        <w:t>中标人与采购人应严格按照</w:t>
      </w:r>
      <w:r>
        <w:rPr>
          <w:rFonts w:cs="仿宋"/>
          <w:sz w:val="24"/>
        </w:rPr>
        <w:t>政府采购相关法律法规以及</w:t>
      </w:r>
      <w:r>
        <w:rPr>
          <w:sz w:val="24"/>
          <w:szCs w:val="24"/>
        </w:rPr>
        <w:t>《财政部关于进一步加强政府采购需求和履约验收管理的指导意见》（财库【2016】205号）</w:t>
      </w:r>
      <w:r>
        <w:rPr>
          <w:rFonts w:cs="仿宋"/>
          <w:sz w:val="24"/>
        </w:rPr>
        <w:t>的要求进行验收</w:t>
      </w:r>
      <w:r>
        <w:rPr>
          <w:rFonts w:hint="eastAsia"/>
          <w:sz w:val="24"/>
          <w:szCs w:val="24"/>
        </w:rPr>
        <w:t>。</w:t>
      </w:r>
    </w:p>
    <w:p>
      <w:pPr>
        <w:rPr>
          <w:rFonts w:ascii="宋体" w:hAnsi="宋体" w:cs="仿宋"/>
          <w:b/>
          <w:sz w:val="24"/>
        </w:rPr>
      </w:pPr>
      <w:r>
        <w:rPr>
          <w:rFonts w:hint="eastAsia" w:ascii="宋体" w:hAnsi="宋体" w:cs="仿宋"/>
          <w:b/>
          <w:sz w:val="24"/>
        </w:rPr>
        <w:br w:type="page"/>
      </w:r>
    </w:p>
    <w:p>
      <w:pPr>
        <w:rPr>
          <w:rFonts w:ascii="宋体" w:hAnsi="宋体" w:cs="仿宋"/>
          <w:b/>
          <w:sz w:val="24"/>
        </w:rPr>
      </w:pPr>
    </w:p>
    <w:p>
      <w:pPr>
        <w:pStyle w:val="3"/>
        <w:spacing w:line="360" w:lineRule="auto"/>
        <w:ind w:firstLine="236" w:firstLineChars="98"/>
        <w:rPr>
          <w:rFonts w:hint="eastAsia" w:ascii="宋体" w:hAnsi="宋体" w:eastAsia="宋体" w:cs="仿宋"/>
          <w:szCs w:val="24"/>
        </w:rPr>
      </w:pPr>
      <w:r>
        <w:rPr>
          <w:rFonts w:hint="eastAsia" w:ascii="宋体" w:hAnsi="宋体" w:eastAsia="宋体" w:cs="仿宋"/>
          <w:szCs w:val="24"/>
          <w:lang w:val="en-US" w:eastAsia="zh-CN"/>
        </w:rPr>
        <w:t>四、</w:t>
      </w:r>
      <w:r>
        <w:rPr>
          <w:rFonts w:hint="eastAsia" w:ascii="宋体" w:hAnsi="宋体" w:eastAsia="宋体" w:cs="仿宋"/>
          <w:szCs w:val="24"/>
        </w:rPr>
        <w:t>评分办法</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50"/>
        <w:gridCol w:w="43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分值</w:t>
            </w:r>
          </w:p>
        </w:tc>
        <w:tc>
          <w:tcPr>
            <w:tcW w:w="43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ascii="宋体" w:hAnsi="宋体" w:cs="仿宋"/>
                <w:color w:val="000000"/>
                <w:sz w:val="24"/>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价格</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ascii="宋体" w:hAnsi="宋体" w:cs="仿宋"/>
                <w:color w:val="000000"/>
                <w:sz w:val="24"/>
                <w:szCs w:val="21"/>
              </w:rPr>
              <w:t>2</w:t>
            </w:r>
            <w:r>
              <w:rPr>
                <w:rFonts w:hint="eastAsia" w:ascii="宋体" w:hAnsi="宋体" w:cs="仿宋"/>
                <w:color w:val="000000"/>
                <w:sz w:val="24"/>
                <w:szCs w:val="21"/>
              </w:rPr>
              <w:t>0</w:t>
            </w:r>
            <w:r>
              <w:rPr>
                <w:rFonts w:ascii="宋体" w:hAnsi="宋体" w:cs="仿宋"/>
                <w:color w:val="000000"/>
                <w:sz w:val="24"/>
                <w:szCs w:val="21"/>
              </w:rPr>
              <w:t>分</w:t>
            </w:r>
          </w:p>
        </w:tc>
        <w:tc>
          <w:tcPr>
            <w:tcW w:w="4395"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360" w:lineRule="auto"/>
              <w:rPr>
                <w:rFonts w:ascii="宋体" w:hAnsi="宋体" w:cs="仿宋"/>
                <w:color w:val="000000"/>
                <w:sz w:val="24"/>
                <w:szCs w:val="21"/>
              </w:rPr>
            </w:pPr>
            <w:r>
              <w:rPr>
                <w:rFonts w:ascii="宋体" w:hAnsi="宋体" w:cs="仿宋"/>
                <w:color w:val="000000"/>
                <w:sz w:val="24"/>
                <w:szCs w:val="21"/>
              </w:rPr>
              <w:t>1.满足招标文件要求且投标价格最低的有效投标报价为评标基准价，其投标人的报价分为2</w:t>
            </w:r>
            <w:r>
              <w:rPr>
                <w:rFonts w:hint="eastAsia" w:ascii="宋体" w:hAnsi="宋体" w:cs="仿宋"/>
                <w:color w:val="000000"/>
                <w:sz w:val="24"/>
                <w:szCs w:val="21"/>
              </w:rPr>
              <w:t>0</w:t>
            </w:r>
            <w:r>
              <w:rPr>
                <w:rFonts w:ascii="宋体" w:hAnsi="宋体" w:cs="仿宋"/>
                <w:color w:val="000000"/>
                <w:sz w:val="24"/>
                <w:szCs w:val="21"/>
              </w:rPr>
              <w:t>分。其他投标人的报价分按以下公式计算：报价得分=(评标基准价／投标报价)×2</w:t>
            </w:r>
            <w:r>
              <w:rPr>
                <w:rFonts w:hint="eastAsia" w:ascii="宋体" w:hAnsi="宋体" w:cs="仿宋"/>
                <w:color w:val="000000"/>
                <w:sz w:val="24"/>
                <w:szCs w:val="21"/>
              </w:rPr>
              <w:t>0</w:t>
            </w:r>
            <w:r>
              <w:rPr>
                <w:rFonts w:ascii="宋体" w:hAnsi="宋体" w:cs="仿宋"/>
                <w:color w:val="000000"/>
                <w:sz w:val="24"/>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技术服务、商务及其他要求</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ascii="宋体" w:hAnsi="宋体" w:cs="仿宋"/>
                <w:color w:val="000000"/>
                <w:sz w:val="24"/>
                <w:szCs w:val="21"/>
              </w:rPr>
              <w:t>1</w:t>
            </w:r>
            <w:r>
              <w:rPr>
                <w:rFonts w:hint="eastAsia" w:ascii="宋体" w:hAnsi="宋体" w:cs="仿宋"/>
                <w:color w:val="000000"/>
                <w:sz w:val="24"/>
                <w:szCs w:val="21"/>
                <w:lang w:val="en-US" w:eastAsia="zh-CN"/>
              </w:rPr>
              <w:t>2</w:t>
            </w:r>
            <w:r>
              <w:rPr>
                <w:rFonts w:hint="eastAsia" w:ascii="宋体" w:hAnsi="宋体" w:cs="仿宋"/>
                <w:color w:val="000000"/>
                <w:sz w:val="24"/>
                <w:szCs w:val="21"/>
              </w:rPr>
              <w:t>分</w:t>
            </w:r>
          </w:p>
        </w:tc>
        <w:tc>
          <w:tcPr>
            <w:tcW w:w="4395"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before="0" w:beforeAutospacing="0" w:after="0" w:line="360" w:lineRule="auto"/>
              <w:ind w:firstLine="0" w:firstLineChars="0"/>
              <w:rPr>
                <w:rFonts w:ascii="宋体" w:hAnsi="宋体" w:cs="仿宋"/>
                <w:color w:val="000000"/>
                <w:sz w:val="24"/>
              </w:rPr>
            </w:pPr>
            <w:r>
              <w:rPr>
                <w:rFonts w:hint="eastAsia" w:ascii="宋体" w:hAnsi="宋体" w:cs="仿宋"/>
                <w:color w:val="000000"/>
                <w:sz w:val="24"/>
              </w:rPr>
              <w:t>1.完全符合招标文件技术服务、商务及其他要求没有负偏离的得</w:t>
            </w:r>
            <w:r>
              <w:rPr>
                <w:rFonts w:ascii="宋体" w:hAnsi="宋体" w:cs="仿宋"/>
                <w:color w:val="000000"/>
                <w:sz w:val="24"/>
              </w:rPr>
              <w:t>1</w:t>
            </w:r>
            <w:r>
              <w:rPr>
                <w:rFonts w:hint="eastAsia" w:ascii="宋体" w:hAnsi="宋体" w:cs="仿宋"/>
                <w:color w:val="000000"/>
                <w:sz w:val="24"/>
                <w:lang w:val="en-US" w:eastAsia="zh-CN"/>
              </w:rPr>
              <w:t>2</w:t>
            </w:r>
            <w:r>
              <w:rPr>
                <w:rFonts w:hint="eastAsia" w:ascii="宋体" w:hAnsi="宋体" w:cs="仿宋"/>
                <w:color w:val="000000"/>
                <w:sz w:val="24"/>
              </w:rPr>
              <w:t>分；“★”的条款为实质性参数，带“★”的条款为实质性参数，不允许负偏离，凡有一项不满足的作无效投标处理。</w:t>
            </w:r>
          </w:p>
          <w:p>
            <w:pPr>
              <w:pStyle w:val="20"/>
              <w:adjustRightInd w:val="0"/>
              <w:snapToGrid w:val="0"/>
              <w:spacing w:before="0" w:beforeAutospacing="0" w:after="0" w:line="360" w:lineRule="auto"/>
              <w:ind w:firstLine="0" w:firstLineChars="0"/>
              <w:rPr>
                <w:rFonts w:ascii="宋体" w:hAnsi="宋体" w:cs="仿宋"/>
                <w:color w:val="000000"/>
                <w:sz w:val="24"/>
              </w:rPr>
            </w:pPr>
            <w:r>
              <w:rPr>
                <w:rFonts w:hint="eastAsia" w:ascii="宋体" w:hAnsi="宋体" w:cs="仿宋"/>
                <w:color w:val="000000"/>
                <w:sz w:val="24"/>
              </w:rPr>
              <w:t>2. 未标识符号的参数为一般参数，一般参数有一项负偏离的扣0.</w:t>
            </w:r>
            <w:r>
              <w:rPr>
                <w:rFonts w:ascii="宋体" w:hAnsi="宋体" w:cs="仿宋"/>
                <w:color w:val="000000"/>
                <w:sz w:val="24"/>
              </w:rPr>
              <w:t>5</w:t>
            </w:r>
            <w:r>
              <w:rPr>
                <w:rFonts w:hint="eastAsia" w:ascii="宋体" w:hAnsi="宋体" w:cs="仿宋"/>
                <w:color w:val="000000"/>
                <w:sz w:val="24"/>
              </w:rPr>
              <w:t>分，扣完为止。</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项目实施方案</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ascii="宋体" w:hAnsi="宋体" w:cs="仿宋"/>
                <w:color w:val="000000"/>
                <w:sz w:val="24"/>
                <w:szCs w:val="21"/>
              </w:rPr>
              <w:t>12分</w:t>
            </w:r>
          </w:p>
        </w:tc>
        <w:tc>
          <w:tcPr>
            <w:tcW w:w="4395"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before="0" w:beforeAutospacing="0" w:after="0" w:line="360" w:lineRule="auto"/>
              <w:ind w:firstLine="0" w:firstLineChars="0"/>
              <w:rPr>
                <w:rFonts w:ascii="宋体" w:hAnsi="宋体" w:cs="仿宋"/>
                <w:color w:val="000000"/>
                <w:sz w:val="24"/>
              </w:rPr>
            </w:pPr>
            <w:r>
              <w:rPr>
                <w:rFonts w:hint="eastAsia" w:ascii="宋体" w:hAnsi="宋体" w:cs="仿宋"/>
                <w:color w:val="000000"/>
                <w:sz w:val="24"/>
              </w:rPr>
              <w:t>根据投标单位提供的服务方案进行评分，包括但不限于①服务内容、②服务流程、③服务交付物、④服务计划、⑤服务工具、⑥服务承诺，完全满足采购人要求有利于项目实施的得</w:t>
            </w:r>
            <w:r>
              <w:rPr>
                <w:rFonts w:ascii="宋体" w:hAnsi="宋体" w:cs="仿宋"/>
                <w:color w:val="000000"/>
                <w:sz w:val="24"/>
              </w:rPr>
              <w:t>12</w:t>
            </w:r>
            <w:r>
              <w:rPr>
                <w:rFonts w:hint="eastAsia" w:ascii="宋体" w:hAnsi="宋体" w:cs="仿宋"/>
                <w:color w:val="000000"/>
                <w:sz w:val="24"/>
              </w:rPr>
              <w:t>分，每有一项漏项或分析内容存在逻辑问题或不满足要求的扣</w:t>
            </w:r>
            <w:r>
              <w:rPr>
                <w:rFonts w:ascii="宋体" w:hAnsi="宋体" w:cs="仿宋"/>
                <w:color w:val="000000"/>
                <w:sz w:val="24"/>
              </w:rPr>
              <w:t>2</w:t>
            </w:r>
            <w:r>
              <w:rPr>
                <w:rFonts w:hint="eastAsia" w:ascii="宋体" w:hAnsi="宋体" w:cs="仿宋"/>
                <w:color w:val="000000"/>
                <w:sz w:val="24"/>
              </w:rPr>
              <w:t>分，扣完为止。</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0" w:hRule="atLeast"/>
        </w:trPr>
        <w:tc>
          <w:tcPr>
            <w:tcW w:w="817" w:type="dxa"/>
            <w:tcBorders>
              <w:top w:val="single" w:color="auto" w:sz="4" w:space="0"/>
              <w:left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4</w:t>
            </w:r>
          </w:p>
        </w:tc>
        <w:tc>
          <w:tcPr>
            <w:tcW w:w="1276" w:type="dxa"/>
            <w:tcBorders>
              <w:top w:val="single" w:color="auto" w:sz="4" w:space="0"/>
              <w:left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履约能力</w:t>
            </w:r>
          </w:p>
        </w:tc>
        <w:tc>
          <w:tcPr>
            <w:tcW w:w="850" w:type="dxa"/>
            <w:tcBorders>
              <w:top w:val="single" w:color="auto" w:sz="4" w:space="0"/>
              <w:left w:val="single" w:color="auto" w:sz="4" w:space="0"/>
              <w:right w:val="single" w:color="auto" w:sz="4" w:space="0"/>
            </w:tcBorders>
            <w:vAlign w:val="center"/>
          </w:tcPr>
          <w:p>
            <w:pPr>
              <w:spacing w:line="360" w:lineRule="auto"/>
              <w:rPr>
                <w:rFonts w:ascii="宋体" w:hAnsi="宋体" w:cs="仿宋"/>
                <w:color w:val="000000"/>
                <w:sz w:val="24"/>
                <w:szCs w:val="21"/>
              </w:rPr>
            </w:pPr>
            <w:r>
              <w:rPr>
                <w:rFonts w:ascii="宋体" w:hAnsi="宋体" w:cs="仿宋"/>
                <w:color w:val="000000"/>
                <w:sz w:val="24"/>
                <w:szCs w:val="21"/>
              </w:rPr>
              <w:t>1</w:t>
            </w:r>
            <w:r>
              <w:rPr>
                <w:rFonts w:hint="eastAsia" w:ascii="宋体" w:hAnsi="宋体" w:cs="仿宋"/>
                <w:color w:val="000000"/>
                <w:sz w:val="24"/>
                <w:szCs w:val="21"/>
                <w:lang w:val="en-US" w:eastAsia="zh-CN"/>
              </w:rPr>
              <w:t>2</w:t>
            </w:r>
            <w:r>
              <w:rPr>
                <w:rFonts w:hint="eastAsia" w:ascii="宋体" w:hAnsi="宋体" w:cs="仿宋"/>
                <w:color w:val="000000"/>
                <w:sz w:val="24"/>
                <w:szCs w:val="21"/>
              </w:rPr>
              <w:t>分</w:t>
            </w:r>
          </w:p>
        </w:tc>
        <w:tc>
          <w:tcPr>
            <w:tcW w:w="43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ascii="宋体" w:hAnsi="宋体" w:cs="宋体"/>
                <w:sz w:val="24"/>
              </w:rPr>
              <w:t>1</w:t>
            </w:r>
            <w:r>
              <w:rPr>
                <w:rFonts w:hint="eastAsia" w:ascii="宋体" w:hAnsi="宋体" w:cs="宋体"/>
                <w:sz w:val="24"/>
              </w:rPr>
              <w:t>．投标单位需具有CCRC/ISCCC颁发的《信息安全风险评估》资质，得</w:t>
            </w:r>
            <w:r>
              <w:rPr>
                <w:rFonts w:ascii="宋体" w:hAnsi="宋体" w:cs="宋体"/>
                <w:sz w:val="24"/>
              </w:rPr>
              <w:t>3</w:t>
            </w:r>
            <w:r>
              <w:rPr>
                <w:rFonts w:hint="eastAsia" w:ascii="宋体" w:hAnsi="宋体" w:cs="宋体"/>
                <w:sz w:val="24"/>
              </w:rPr>
              <w:t>分，不满足不得分。</w:t>
            </w:r>
          </w:p>
          <w:p>
            <w:pPr>
              <w:spacing w:line="360" w:lineRule="auto"/>
              <w:ind w:firstLine="28"/>
              <w:rPr>
                <w:rFonts w:ascii="宋体" w:hAnsi="宋体" w:cs="宋体"/>
                <w:sz w:val="24"/>
              </w:rPr>
            </w:pPr>
            <w:r>
              <w:rPr>
                <w:rFonts w:ascii="宋体" w:hAnsi="宋体" w:cs="宋体"/>
                <w:sz w:val="24"/>
              </w:rPr>
              <w:t>2</w:t>
            </w:r>
            <w:r>
              <w:rPr>
                <w:rFonts w:hint="eastAsia" w:ascii="宋体" w:hAnsi="宋体" w:cs="宋体"/>
                <w:sz w:val="24"/>
              </w:rPr>
              <w:t>．投标单位需具有CCRC/ISCCC颁发的《信息系统安全集成》资质，得</w:t>
            </w:r>
            <w:r>
              <w:rPr>
                <w:rFonts w:ascii="宋体" w:hAnsi="宋体" w:cs="宋体"/>
                <w:sz w:val="24"/>
              </w:rPr>
              <w:t>3</w:t>
            </w:r>
            <w:r>
              <w:rPr>
                <w:rFonts w:hint="eastAsia" w:ascii="宋体" w:hAnsi="宋体" w:cs="宋体"/>
                <w:sz w:val="24"/>
              </w:rPr>
              <w:t>分，不满足不得分。</w:t>
            </w:r>
          </w:p>
          <w:p>
            <w:pPr>
              <w:spacing w:line="360" w:lineRule="auto"/>
              <w:ind w:firstLine="28"/>
              <w:rPr>
                <w:rFonts w:ascii="宋体" w:hAnsi="宋体" w:cs="宋体"/>
                <w:sz w:val="24"/>
              </w:rPr>
            </w:pPr>
            <w:r>
              <w:rPr>
                <w:rFonts w:ascii="宋体" w:hAnsi="宋体" w:cs="宋体"/>
                <w:sz w:val="24"/>
              </w:rPr>
              <w:t>3</w:t>
            </w:r>
            <w:r>
              <w:rPr>
                <w:rFonts w:hint="eastAsia" w:ascii="宋体" w:hAnsi="宋体" w:cs="宋体"/>
                <w:sz w:val="24"/>
              </w:rPr>
              <w:t>．投标单位需具有CCRC/ISCCC颁发的《信息系统安全运维》资质，得</w:t>
            </w:r>
            <w:r>
              <w:rPr>
                <w:rFonts w:ascii="宋体" w:hAnsi="宋体" w:cs="宋体"/>
                <w:sz w:val="24"/>
              </w:rPr>
              <w:t>3</w:t>
            </w:r>
            <w:r>
              <w:rPr>
                <w:rFonts w:hint="eastAsia" w:ascii="宋体" w:hAnsi="宋体" w:cs="宋体"/>
                <w:sz w:val="24"/>
              </w:rPr>
              <w:t>分，不满足不得分。</w:t>
            </w:r>
          </w:p>
          <w:p>
            <w:pPr>
              <w:spacing w:line="360" w:lineRule="auto"/>
              <w:ind w:firstLine="28"/>
              <w:rPr>
                <w:rFonts w:ascii="宋体" w:hAnsi="宋体" w:cs="宋体"/>
                <w:sz w:val="24"/>
              </w:rPr>
            </w:pPr>
            <w:r>
              <w:rPr>
                <w:rFonts w:ascii="宋体" w:hAnsi="宋体" w:cs="宋体"/>
                <w:sz w:val="24"/>
              </w:rPr>
              <w:t>4</w:t>
            </w:r>
            <w:r>
              <w:rPr>
                <w:rFonts w:hint="eastAsia" w:ascii="宋体" w:hAnsi="宋体" w:cs="宋体"/>
                <w:sz w:val="24"/>
              </w:rPr>
              <w:t>．投标单位需具有I</w:t>
            </w:r>
            <w:r>
              <w:rPr>
                <w:rFonts w:ascii="宋体" w:hAnsi="宋体" w:cs="宋体"/>
                <w:sz w:val="24"/>
              </w:rPr>
              <w:t>SO9001</w:t>
            </w:r>
            <w:r>
              <w:rPr>
                <w:rFonts w:hint="eastAsia" w:ascii="宋体" w:hAnsi="宋体" w:cs="宋体"/>
                <w:sz w:val="24"/>
              </w:rPr>
              <w:t>质量管理体系认证资质，得</w:t>
            </w:r>
            <w:r>
              <w:rPr>
                <w:rFonts w:hint="eastAsia" w:ascii="宋体" w:hAnsi="宋体" w:cs="宋体"/>
                <w:sz w:val="24"/>
                <w:lang w:val="en-US" w:eastAsia="zh-CN"/>
              </w:rPr>
              <w:t>3</w:t>
            </w:r>
            <w:r>
              <w:rPr>
                <w:rFonts w:hint="eastAsia" w:ascii="宋体" w:hAnsi="宋体" w:cs="宋体"/>
                <w:sz w:val="24"/>
              </w:rPr>
              <w:t>分，不满足不得分</w:t>
            </w:r>
          </w:p>
          <w:p>
            <w:pPr>
              <w:pStyle w:val="19"/>
              <w:rPr>
                <w:rFonts w:eastAsia="宋体"/>
              </w:rPr>
            </w:pPr>
            <w:r>
              <w:rPr>
                <w:rFonts w:hint="eastAsia" w:eastAsia="宋体"/>
                <w:b/>
                <w:bCs/>
              </w:rPr>
              <w:t>注：上述证明材料均须加盖供应商单位鲜章，未按要求提供相关证明材料的不得分。</w:t>
            </w:r>
          </w:p>
        </w:tc>
        <w:tc>
          <w:tcPr>
            <w:tcW w:w="992" w:type="dxa"/>
            <w:tcBorders>
              <w:top w:val="single" w:color="auto" w:sz="4" w:space="0"/>
              <w:left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服务能力</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ascii="宋体" w:hAnsi="宋体" w:cs="仿宋"/>
                <w:color w:val="000000"/>
                <w:sz w:val="24"/>
                <w:szCs w:val="21"/>
              </w:rPr>
              <w:t>18分</w:t>
            </w:r>
          </w:p>
        </w:tc>
        <w:tc>
          <w:tcPr>
            <w:tcW w:w="4395"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360" w:lineRule="auto"/>
              <w:ind w:firstLine="0" w:firstLineChars="0"/>
              <w:rPr>
                <w:rFonts w:ascii="宋体" w:hAnsi="宋体" w:cs="仿宋"/>
                <w:color w:val="000000"/>
                <w:sz w:val="24"/>
              </w:rPr>
            </w:pPr>
            <w:r>
              <w:rPr>
                <w:rFonts w:ascii="宋体" w:hAnsi="宋体" w:cs="仿宋"/>
                <w:color w:val="000000"/>
                <w:sz w:val="24"/>
              </w:rPr>
              <w:t>1</w:t>
            </w:r>
            <w:r>
              <w:rPr>
                <w:rFonts w:hint="eastAsia" w:ascii="宋体" w:hAnsi="宋体" w:cs="仿宋"/>
                <w:color w:val="000000"/>
                <w:sz w:val="24"/>
              </w:rPr>
              <w:t>．</w:t>
            </w:r>
            <w:r>
              <w:rPr>
                <w:rFonts w:hint="eastAsia" w:ascii="宋体" w:hAnsi="宋体" w:cs="宋体"/>
                <w:sz w:val="24"/>
              </w:rPr>
              <w:t>投标单位</w:t>
            </w:r>
            <w:r>
              <w:rPr>
                <w:rFonts w:hint="eastAsia" w:ascii="宋体" w:hAnsi="宋体" w:cs="仿宋"/>
                <w:color w:val="000000"/>
                <w:sz w:val="24"/>
              </w:rPr>
              <w:t>拟派驻本项目的项目经理同时具有注册信息安全保障人员安全运维、安全风险评估认证证书、注册信息安全专业人员认证证书的，每提供一个得2分，最多得6分；（须提供相关证书扫描件）</w:t>
            </w:r>
          </w:p>
          <w:p>
            <w:pPr>
              <w:pStyle w:val="20"/>
              <w:adjustRightInd w:val="0"/>
              <w:snapToGrid w:val="0"/>
              <w:spacing w:before="0" w:beforeAutospacing="0" w:after="0" w:line="360" w:lineRule="auto"/>
              <w:ind w:firstLine="0" w:firstLineChars="0"/>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w:t>
            </w:r>
            <w:r>
              <w:rPr>
                <w:rFonts w:hint="eastAsia" w:ascii="宋体" w:hAnsi="宋体" w:cs="宋体"/>
                <w:sz w:val="24"/>
              </w:rPr>
              <w:t>投标单位</w:t>
            </w:r>
            <w:r>
              <w:rPr>
                <w:rFonts w:hint="eastAsia" w:ascii="宋体" w:hAnsi="宋体" w:cs="仿宋"/>
                <w:color w:val="000000"/>
                <w:sz w:val="24"/>
              </w:rPr>
              <w:t>拟派驻本项目的服务团队人员（除开项目经理）具有注册信息安全专业人员认证证书的，每提供一个得2分，最多得6分；（须提供相关证书扫描件）</w:t>
            </w:r>
          </w:p>
          <w:p>
            <w:pPr>
              <w:pStyle w:val="20"/>
              <w:adjustRightInd w:val="0"/>
              <w:snapToGrid w:val="0"/>
              <w:spacing w:before="0" w:beforeAutospacing="0" w:after="0" w:line="360" w:lineRule="auto"/>
              <w:ind w:firstLine="0" w:firstLineChars="0"/>
              <w:rPr>
                <w:rFonts w:ascii="宋体" w:hAnsi="宋体" w:cs="仿宋"/>
                <w:color w:val="000000"/>
                <w:sz w:val="24"/>
              </w:rPr>
            </w:pPr>
            <w:r>
              <w:rPr>
                <w:rFonts w:ascii="宋体" w:hAnsi="宋体" w:cs="仿宋"/>
                <w:color w:val="000000"/>
                <w:sz w:val="24"/>
              </w:rPr>
              <w:t>3.</w:t>
            </w:r>
            <w:r>
              <w:rPr>
                <w:rFonts w:hint="eastAsia" w:ascii="宋体" w:hAnsi="宋体" w:cs="仿宋"/>
                <w:color w:val="000000"/>
                <w:sz w:val="24"/>
              </w:rPr>
              <w:t>2019年以来投标单位具有地市级及以上网络攻防演练第一名得</w:t>
            </w:r>
            <w:r>
              <w:rPr>
                <w:rFonts w:ascii="宋体" w:hAnsi="宋体" w:cs="仿宋"/>
                <w:color w:val="000000"/>
                <w:sz w:val="24"/>
              </w:rPr>
              <w:t>6</w:t>
            </w:r>
            <w:r>
              <w:rPr>
                <w:rFonts w:hint="eastAsia" w:ascii="宋体" w:hAnsi="宋体" w:cs="仿宋"/>
                <w:color w:val="000000"/>
                <w:sz w:val="24"/>
              </w:rPr>
              <w:t>分，第二名得</w:t>
            </w:r>
            <w:r>
              <w:rPr>
                <w:rFonts w:ascii="宋体" w:hAnsi="宋体" w:cs="仿宋"/>
                <w:color w:val="000000"/>
                <w:sz w:val="24"/>
              </w:rPr>
              <w:t>4</w:t>
            </w:r>
            <w:r>
              <w:rPr>
                <w:rFonts w:hint="eastAsia" w:ascii="宋体" w:hAnsi="宋体" w:cs="仿宋"/>
                <w:color w:val="000000"/>
                <w:sz w:val="24"/>
              </w:rPr>
              <w:t>分，第三名得3分。</w:t>
            </w:r>
          </w:p>
          <w:p>
            <w:pPr>
              <w:pStyle w:val="20"/>
              <w:adjustRightInd w:val="0"/>
              <w:snapToGrid w:val="0"/>
              <w:spacing w:before="0" w:beforeAutospacing="0" w:after="0" w:line="360" w:lineRule="auto"/>
              <w:ind w:firstLine="0" w:firstLineChars="0"/>
              <w:rPr>
                <w:rFonts w:ascii="宋体" w:hAnsi="宋体" w:cs="仿宋"/>
                <w:color w:val="000000"/>
                <w:sz w:val="24"/>
              </w:rPr>
            </w:pPr>
            <w:r>
              <w:rPr>
                <w:rFonts w:hint="eastAsia" w:ascii="宋体" w:hAnsi="宋体"/>
                <w:b/>
                <w:bCs/>
                <w:sz w:val="24"/>
              </w:rPr>
              <w:t>注：人员不重复计分，证明材料须提供证书复印件、身份证复印件以及在投标单位的工作证明复印件，加盖投标单位公章。</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服务工具能力</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8"/>
              <w:rPr>
                <w:rFonts w:ascii="宋体" w:hAnsi="宋体" w:cs="仿宋"/>
                <w:color w:val="000000"/>
                <w:sz w:val="24"/>
                <w:szCs w:val="21"/>
              </w:rPr>
            </w:pPr>
            <w:r>
              <w:rPr>
                <w:rFonts w:ascii="宋体" w:hAnsi="宋体" w:cs="仿宋"/>
                <w:color w:val="000000"/>
                <w:sz w:val="24"/>
                <w:szCs w:val="21"/>
              </w:rPr>
              <w:t>18分</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28"/>
              <w:rPr>
                <w:rFonts w:ascii="宋体" w:hAnsi="宋体" w:cs="仿宋"/>
                <w:color w:val="000000"/>
                <w:sz w:val="24"/>
                <w:szCs w:val="21"/>
              </w:rPr>
            </w:pPr>
            <w:r>
              <w:rPr>
                <w:rFonts w:hint="eastAsia" w:ascii="宋体" w:hAnsi="宋体" w:cs="仿宋"/>
                <w:color w:val="000000"/>
                <w:sz w:val="24"/>
                <w:szCs w:val="21"/>
              </w:rPr>
              <w:t>1</w:t>
            </w:r>
            <w:r>
              <w:rPr>
                <w:rFonts w:ascii="宋体" w:hAnsi="宋体" w:cs="仿宋"/>
                <w:color w:val="000000"/>
                <w:sz w:val="24"/>
                <w:szCs w:val="21"/>
              </w:rPr>
              <w:t>.</w:t>
            </w:r>
            <w:r>
              <w:rPr>
                <w:rFonts w:hint="eastAsia" w:ascii="宋体" w:hAnsi="宋体" w:cs="仿宋"/>
                <w:color w:val="000000"/>
                <w:sz w:val="24"/>
                <w:szCs w:val="21"/>
              </w:rPr>
              <w:t>为了保证攻防演练效果，以及满足医院关键信息保密要求，投标单位所使用攻防演练服务平台通过三级等保（提供通过等保证明证书及备案证明），具备得</w:t>
            </w:r>
            <w:r>
              <w:rPr>
                <w:rFonts w:ascii="宋体" w:hAnsi="宋体" w:cs="仿宋"/>
                <w:color w:val="000000"/>
                <w:sz w:val="24"/>
                <w:szCs w:val="21"/>
              </w:rPr>
              <w:t>3</w:t>
            </w:r>
            <w:r>
              <w:rPr>
                <w:rFonts w:hint="eastAsia" w:ascii="宋体" w:hAnsi="宋体" w:cs="仿宋"/>
                <w:color w:val="000000"/>
                <w:sz w:val="24"/>
                <w:szCs w:val="21"/>
              </w:rPr>
              <w:t>分，不满足不得分。</w:t>
            </w:r>
          </w:p>
          <w:p>
            <w:pPr>
              <w:spacing w:line="440" w:lineRule="exact"/>
              <w:rPr>
                <w:rFonts w:ascii="宋体" w:hAnsi="宋体" w:cs="宋体"/>
                <w:bCs/>
                <w:sz w:val="24"/>
              </w:rPr>
            </w:pPr>
            <w:r>
              <w:rPr>
                <w:rFonts w:ascii="宋体" w:hAnsi="宋体" w:cs="宋体"/>
                <w:bCs/>
                <w:sz w:val="24"/>
              </w:rPr>
              <w:t>2.</w:t>
            </w:r>
            <w:r>
              <w:rPr>
                <w:rFonts w:hint="eastAsia" w:ascii="宋体" w:hAnsi="宋体" w:cs="宋体"/>
                <w:bCs/>
                <w:sz w:val="24"/>
              </w:rPr>
              <w:t>所使用的漏扫工具应该是被广泛应用的成熟产品，在国内市场具有较高的市场份额，近五年市场占有率排名第一得</w:t>
            </w:r>
            <w:r>
              <w:rPr>
                <w:rFonts w:ascii="宋体" w:hAnsi="宋体" w:cs="宋体"/>
                <w:bCs/>
                <w:sz w:val="24"/>
              </w:rPr>
              <w:t>3</w:t>
            </w:r>
            <w:r>
              <w:rPr>
                <w:rFonts w:hint="eastAsia" w:ascii="宋体" w:hAnsi="宋体" w:cs="宋体"/>
                <w:bCs/>
                <w:sz w:val="24"/>
              </w:rPr>
              <w:t>分，第二、三名得</w:t>
            </w:r>
            <w:r>
              <w:rPr>
                <w:rFonts w:ascii="宋体" w:hAnsi="宋体" w:cs="宋体"/>
                <w:bCs/>
                <w:sz w:val="24"/>
              </w:rPr>
              <w:t>2</w:t>
            </w:r>
            <w:r>
              <w:rPr>
                <w:rFonts w:hint="eastAsia" w:ascii="宋体" w:hAnsi="宋体" w:cs="宋体"/>
                <w:bCs/>
                <w:sz w:val="24"/>
              </w:rPr>
              <w:t>分，其余得</w:t>
            </w:r>
            <w:r>
              <w:rPr>
                <w:rFonts w:ascii="宋体" w:hAnsi="宋体" w:cs="宋体"/>
                <w:bCs/>
                <w:sz w:val="24"/>
              </w:rPr>
              <w:t>1</w:t>
            </w:r>
            <w:r>
              <w:rPr>
                <w:rFonts w:hint="eastAsia" w:ascii="宋体" w:hAnsi="宋体" w:cs="宋体"/>
                <w:bCs/>
                <w:sz w:val="24"/>
              </w:rPr>
              <w:t>分。须提供第三方机构（如IDC）出具的市场占有率排名有效证明材料。</w:t>
            </w:r>
          </w:p>
          <w:p>
            <w:pPr>
              <w:spacing w:line="440" w:lineRule="exact"/>
              <w:rPr>
                <w:rFonts w:ascii="宋体" w:hAnsi="宋体" w:cs="宋体"/>
                <w:bCs/>
                <w:sz w:val="24"/>
              </w:rPr>
            </w:pPr>
            <w:r>
              <w:rPr>
                <w:rFonts w:ascii="宋体" w:hAnsi="宋体" w:cs="宋体"/>
                <w:bCs/>
                <w:sz w:val="24"/>
              </w:rPr>
              <w:t>3.</w:t>
            </w:r>
            <w:r>
              <w:rPr>
                <w:rFonts w:hint="eastAsia" w:ascii="宋体" w:hAnsi="宋体" w:cs="宋体"/>
                <w:bCs/>
                <w:sz w:val="24"/>
              </w:rPr>
              <w:t>为保障安全服务平台的软件成熟度，投标人所使用的安全服务平台生产厂家具备CMMI5认证，具备的得3分，具备CMMI4认证的得2分，具备CMMI3认证的得1分，不满足不得分。</w:t>
            </w:r>
          </w:p>
          <w:p>
            <w:pPr>
              <w:spacing w:line="440" w:lineRule="exact"/>
              <w:rPr>
                <w:rFonts w:ascii="宋体" w:hAnsi="宋体" w:cs="宋体"/>
                <w:bCs/>
                <w:sz w:val="24"/>
              </w:rPr>
            </w:pPr>
            <w:r>
              <w:rPr>
                <w:rFonts w:ascii="宋体" w:hAnsi="宋体" w:cs="宋体"/>
                <w:bCs/>
                <w:sz w:val="24"/>
              </w:rPr>
              <w:t>4</w:t>
            </w:r>
            <w:r>
              <w:rPr>
                <w:rFonts w:hint="eastAsia" w:ascii="宋体" w:hAnsi="宋体" w:cs="宋体"/>
                <w:bCs/>
                <w:sz w:val="24"/>
              </w:rPr>
              <w:t>、为保障云防护能力的全面成熟可靠，投标人所使用安全服务平台生产厂家具备CS-CMMI5认证，具备得3分，具备CS-CMMI4认证的得2分，具备CS-CMMI3认证的得1分，不满足不得分。</w:t>
            </w:r>
          </w:p>
          <w:p>
            <w:pPr>
              <w:spacing w:line="440" w:lineRule="exact"/>
              <w:rPr>
                <w:rFonts w:ascii="宋体" w:hAnsi="宋体" w:cs="宋体"/>
                <w:bCs/>
                <w:sz w:val="24"/>
              </w:rPr>
            </w:pPr>
            <w:r>
              <w:rPr>
                <w:rFonts w:hint="eastAsia" w:ascii="宋体" w:hAnsi="宋体" w:cs="宋体"/>
                <w:bCs/>
                <w:sz w:val="24"/>
              </w:rPr>
              <w:t>5、在服务过程中为满足各类安全应急要求，投标人所使用安全服务平台生产厂家为国家互联网应急响应中心网络安全应急服务国家级支撑单位，具备得3分，不满足不得分。</w:t>
            </w:r>
          </w:p>
          <w:p>
            <w:pPr>
              <w:spacing w:line="440" w:lineRule="exact"/>
              <w:rPr>
                <w:rFonts w:ascii="宋体" w:hAnsi="宋体" w:cs="宋体"/>
                <w:bCs/>
                <w:sz w:val="24"/>
              </w:rPr>
            </w:pPr>
            <w:r>
              <w:rPr>
                <w:rFonts w:hint="eastAsia" w:ascii="宋体" w:hAnsi="宋体" w:cs="宋体"/>
                <w:bCs/>
                <w:sz w:val="24"/>
              </w:rPr>
              <w:t>6</w:t>
            </w:r>
            <w:r>
              <w:rPr>
                <w:rFonts w:ascii="宋体" w:hAnsi="宋体" w:cs="宋体"/>
                <w:bCs/>
                <w:sz w:val="24"/>
              </w:rPr>
              <w:t>.</w:t>
            </w:r>
            <w:r>
              <w:rPr>
                <w:rFonts w:hint="eastAsia"/>
              </w:rPr>
              <w:t xml:space="preserve"> </w:t>
            </w:r>
            <w:r>
              <w:rPr>
                <w:rFonts w:hint="eastAsia" w:ascii="宋体" w:hAnsi="宋体" w:cs="宋体"/>
                <w:bCs/>
                <w:sz w:val="24"/>
              </w:rPr>
              <w:t>为保障安全服务效果，起到病毒与漏洞防范能力最大化，投标人所使用安全服务平台生产厂家为中国反网络病毒联盟ANVA成员单位，具备得3分，不满足不得分。</w:t>
            </w:r>
          </w:p>
          <w:p>
            <w:pPr>
              <w:spacing w:line="360" w:lineRule="auto"/>
              <w:ind w:left="28"/>
              <w:rPr>
                <w:rFonts w:ascii="宋体" w:hAnsi="宋体" w:cs="仿宋"/>
                <w:color w:val="000000"/>
                <w:sz w:val="24"/>
                <w:szCs w:val="21"/>
              </w:rPr>
            </w:pPr>
            <w:r>
              <w:rPr>
                <w:rFonts w:hint="eastAsia" w:ascii="宋体" w:hAnsi="宋体" w:cs="仿宋"/>
                <w:b/>
                <w:bCs/>
                <w:color w:val="000000"/>
                <w:sz w:val="24"/>
                <w:szCs w:val="21"/>
              </w:rPr>
              <w:t>注：提供证明文件并加盖投标单位公章</w:t>
            </w:r>
            <w:r>
              <w:rPr>
                <w:rFonts w:hint="eastAsia" w:ascii="宋体" w:hAnsi="宋体" w:cs="仿宋"/>
                <w:color w:val="000000"/>
                <w:sz w:val="24"/>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业绩</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8"/>
              <w:rPr>
                <w:rFonts w:ascii="宋体" w:hAnsi="宋体" w:cs="仿宋"/>
                <w:color w:val="000000"/>
                <w:sz w:val="24"/>
                <w:szCs w:val="21"/>
              </w:rPr>
            </w:pPr>
            <w:r>
              <w:rPr>
                <w:rFonts w:ascii="宋体" w:hAnsi="宋体" w:cs="仿宋"/>
                <w:color w:val="000000"/>
                <w:sz w:val="24"/>
                <w:szCs w:val="21"/>
              </w:rPr>
              <w:t>8</w:t>
            </w:r>
            <w:r>
              <w:rPr>
                <w:rFonts w:hint="eastAsia" w:ascii="宋体" w:hAnsi="宋体" w:cs="仿宋"/>
                <w:color w:val="000000"/>
                <w:sz w:val="24"/>
                <w:szCs w:val="21"/>
              </w:rPr>
              <w:t>分</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28"/>
              <w:rPr>
                <w:rFonts w:ascii="宋体" w:hAnsi="宋体" w:cs="仿宋"/>
                <w:color w:val="000000"/>
                <w:sz w:val="24"/>
                <w:szCs w:val="21"/>
              </w:rPr>
            </w:pPr>
            <w:r>
              <w:rPr>
                <w:rFonts w:hint="eastAsia" w:ascii="宋体" w:hAnsi="宋体" w:cs="仿宋"/>
                <w:color w:val="000000"/>
                <w:sz w:val="24"/>
                <w:szCs w:val="21"/>
              </w:rPr>
              <w:t>投标人2019年至今每具有一个类似项目业绩得</w:t>
            </w:r>
            <w:r>
              <w:rPr>
                <w:rFonts w:ascii="宋体" w:hAnsi="宋体" w:cs="仿宋"/>
                <w:color w:val="000000"/>
                <w:sz w:val="24"/>
                <w:szCs w:val="21"/>
              </w:rPr>
              <w:t>2</w:t>
            </w:r>
            <w:r>
              <w:rPr>
                <w:rFonts w:hint="eastAsia" w:ascii="宋体" w:hAnsi="宋体" w:cs="仿宋"/>
                <w:color w:val="000000"/>
                <w:sz w:val="24"/>
                <w:szCs w:val="21"/>
              </w:rPr>
              <w:t>分，本项最多得</w:t>
            </w:r>
            <w:r>
              <w:rPr>
                <w:rFonts w:ascii="宋体" w:hAnsi="宋体" w:cs="仿宋"/>
                <w:color w:val="000000"/>
                <w:sz w:val="24"/>
                <w:szCs w:val="21"/>
              </w:rPr>
              <w:t>8</w:t>
            </w:r>
            <w:r>
              <w:rPr>
                <w:rFonts w:hint="eastAsia" w:ascii="宋体" w:hAnsi="宋体" w:cs="仿宋"/>
                <w:color w:val="000000"/>
                <w:sz w:val="24"/>
                <w:szCs w:val="21"/>
              </w:rPr>
              <w:t>分。</w:t>
            </w:r>
          </w:p>
          <w:p>
            <w:pPr>
              <w:spacing w:line="360" w:lineRule="auto"/>
              <w:ind w:left="28"/>
              <w:rPr>
                <w:rFonts w:ascii="宋体" w:hAnsi="宋体" w:cs="仿宋"/>
                <w:b/>
                <w:bCs/>
                <w:color w:val="000000"/>
                <w:sz w:val="24"/>
                <w:szCs w:val="21"/>
              </w:rPr>
            </w:pPr>
            <w:r>
              <w:rPr>
                <w:rFonts w:hint="eastAsia" w:ascii="宋体" w:hAnsi="宋体" w:cs="仿宋"/>
                <w:b/>
                <w:bCs/>
                <w:color w:val="000000"/>
                <w:sz w:val="24"/>
                <w:szCs w:val="21"/>
              </w:rPr>
              <w:t>（注：以上业绩需提供合同（协议）复印件或中标（成交）通知书复印件加盖投标单位公章。）</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仿宋"/>
                <w:color w:val="000000"/>
                <w:sz w:val="24"/>
                <w:szCs w:val="21"/>
              </w:rPr>
            </w:pPr>
            <w:r>
              <w:rPr>
                <w:rFonts w:hint="eastAsia" w:ascii="宋体" w:hAnsi="宋体" w:cs="仿宋"/>
                <w:color w:val="000000"/>
                <w:sz w:val="24"/>
                <w:szCs w:val="21"/>
              </w:rPr>
              <w:t>共同评分因素</w:t>
            </w:r>
          </w:p>
        </w:tc>
      </w:tr>
    </w:tbl>
    <w:p>
      <w:pPr>
        <w:rPr>
          <w:rFonts w:hint="eastAsia" w:ascii="宋体" w:hAnsi="宋体" w:cs="仿宋"/>
          <w:color w:val="000000"/>
          <w:szCs w:val="21"/>
        </w:rPr>
      </w:pPr>
      <w:r>
        <w:rPr>
          <w:rFonts w:hint="eastAsia" w:ascii="宋体" w:hAnsi="宋体" w:cs="仿宋"/>
          <w:color w:val="000000"/>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黑体" w:hAnsi="宋体" w:eastAsia="黑体"/>
          <w:bCs/>
          <w:sz w:val="32"/>
          <w:szCs w:val="32"/>
        </w:rPr>
      </w:pPr>
      <w:r>
        <w:rPr>
          <w:rFonts w:hint="eastAsia" w:ascii="微软雅黑" w:hAnsi="微软雅黑" w:eastAsia="微软雅黑"/>
          <w:b/>
          <w:color w:val="000000"/>
          <w:sz w:val="28"/>
          <w:szCs w:val="21"/>
        </w:rPr>
        <w:t>附件2：</w:t>
      </w:r>
    </w:p>
    <w:p>
      <w:pPr>
        <w:spacing w:line="0" w:lineRule="atLeast"/>
        <w:jc w:val="center"/>
        <w:rPr>
          <w:rFonts w:ascii="微软雅黑" w:hAnsi="微软雅黑" w:eastAsia="微软雅黑"/>
          <w:b/>
          <w:bCs/>
          <w:sz w:val="32"/>
          <w:szCs w:val="32"/>
        </w:rPr>
      </w:pPr>
      <w:r>
        <w:rPr>
          <w:rFonts w:hint="eastAsia" w:ascii="微软雅黑" w:hAnsi="微软雅黑" w:eastAsia="微软雅黑"/>
          <w:b/>
          <w:bCs/>
          <w:sz w:val="32"/>
          <w:szCs w:val="32"/>
        </w:rPr>
        <w:t>采购文件书装订顺序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1、封面（公司、项目、联系人、联系方式）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2、目录</w:t>
      </w:r>
      <w:r>
        <w:rPr>
          <w:rFonts w:hint="eastAsia" w:cs="Segoe UI" w:asciiTheme="minorEastAsia" w:hAnsiTheme="minorEastAsia"/>
          <w:color w:val="333333"/>
          <w:spacing w:val="8"/>
          <w:kern w:val="0"/>
          <w:sz w:val="24"/>
          <w:szCs w:val="24"/>
        </w:rPr>
        <w:t>（</w:t>
      </w:r>
      <w:r>
        <w:rPr>
          <w:rFonts w:hint="eastAsia" w:cs="Segoe UI" w:asciiTheme="minorEastAsia" w:hAnsiTheme="minorEastAsia"/>
          <w:b/>
          <w:color w:val="FF0000"/>
          <w:spacing w:val="8"/>
          <w:kern w:val="0"/>
          <w:sz w:val="24"/>
          <w:szCs w:val="24"/>
        </w:rPr>
        <w:t>标记页码</w:t>
      </w:r>
      <w:r>
        <w:rPr>
          <w:rFonts w:hint="eastAsia" w:cs="Segoe UI" w:asciiTheme="minorEastAsia" w:hAnsiTheme="minorEastAsia"/>
          <w:color w:val="333333"/>
          <w:spacing w:val="8"/>
          <w:kern w:val="0"/>
          <w:sz w:val="24"/>
          <w:szCs w:val="24"/>
        </w:rPr>
        <w:t>）</w:t>
      </w:r>
    </w:p>
    <w:p>
      <w:pPr>
        <w:tabs>
          <w:tab w:val="left" w:pos="0"/>
        </w:tabs>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3、品目及报价表（格式见附件</w:t>
      </w:r>
      <w:r>
        <w:rPr>
          <w:rFonts w:hint="eastAsia" w:ascii="微软雅黑" w:hAnsi="微软雅黑" w:eastAsia="微软雅黑"/>
          <w:bCs/>
          <w:spacing w:val="8"/>
          <w:sz w:val="24"/>
          <w:szCs w:val="24"/>
          <w:lang w:val="en-US" w:eastAsia="zh-CN"/>
        </w:rPr>
        <w:t>3</w:t>
      </w:r>
      <w:r>
        <w:rPr>
          <w:rFonts w:hint="eastAsia" w:ascii="微软雅黑" w:hAnsi="微软雅黑" w:eastAsia="微软雅黑"/>
          <w:bCs/>
          <w:spacing w:val="8"/>
          <w:sz w:val="24"/>
          <w:szCs w:val="24"/>
        </w:rPr>
        <w:t>）</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4、规格型号、配置及偏离表（格式见附件3）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5、企业营业执照（复印件）</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6、</w:t>
      </w:r>
      <w:r>
        <w:rPr>
          <w:rFonts w:hint="eastAsia" w:ascii="微软雅黑" w:hAnsi="微软雅黑" w:eastAsia="微软雅黑"/>
          <w:sz w:val="24"/>
          <w:szCs w:val="24"/>
        </w:rPr>
        <w:t>组织机构代码证、税务登记证（复印件）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7、法定代表人授权书（原件，格式见附件3）暨经办人授权书，法人、经办人身份证（复印件）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8、生产厂家授权书（投标人不是生产厂家的）</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9、</w:t>
      </w:r>
      <w:r>
        <w:rPr>
          <w:rFonts w:hint="eastAsia" w:ascii="微软雅黑" w:hAnsi="微软雅黑" w:eastAsia="微软雅黑"/>
          <w:bCs/>
          <w:sz w:val="24"/>
          <w:szCs w:val="24"/>
        </w:rPr>
        <w:t>如有</w:t>
      </w:r>
      <w:r>
        <w:rPr>
          <w:rFonts w:hint="eastAsia" w:ascii="微软雅黑" w:hAnsi="微软雅黑" w:eastAsia="微软雅黑"/>
          <w:sz w:val="24"/>
          <w:szCs w:val="24"/>
        </w:rPr>
        <w:t>产品质量和企业管理体系认证（考核），请提供的有效证明文件的复印或扫描件，质量管理体系认证包括FDA、CE、ISO等认证（提供中文翻译复印件）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10、质量检测中心或法定机构出具的产品检测报告，性能自测报告，出厂检验报告的复印或扫描件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11、如有其他证书：产品在技术、节能、安全、环保和自主创新方面获得的认证证书或制造厂家和产品所获国家级荣誉称号等复印或扫描件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bCs/>
          <w:sz w:val="24"/>
          <w:szCs w:val="24"/>
        </w:rPr>
        <w:t>12、</w:t>
      </w:r>
      <w:r>
        <w:rPr>
          <w:rFonts w:hint="eastAsia" w:ascii="微软雅黑" w:hAnsi="微软雅黑" w:eastAsia="微软雅黑"/>
          <w:sz w:val="24"/>
          <w:szCs w:val="24"/>
        </w:rPr>
        <w:t>产品执行标准（提供产品注册标准：YZB等资料供评审）</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13、</w:t>
      </w:r>
      <w:r>
        <w:rPr>
          <w:rFonts w:hint="eastAsia" w:ascii="微软雅黑" w:hAnsi="微软雅黑" w:eastAsia="微软雅黑"/>
          <w:bCs/>
          <w:sz w:val="24"/>
          <w:szCs w:val="24"/>
        </w:rPr>
        <w:t>产品质量及货源保证书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14、</w:t>
      </w:r>
      <w:r>
        <w:rPr>
          <w:rFonts w:hint="eastAsia" w:ascii="微软雅黑" w:hAnsi="微软雅黑" w:eastAsia="微软雅黑"/>
          <w:bCs/>
          <w:spacing w:val="8"/>
          <w:sz w:val="24"/>
          <w:szCs w:val="24"/>
        </w:rPr>
        <w:t>售后</w:t>
      </w:r>
      <w:r>
        <w:rPr>
          <w:rFonts w:hint="eastAsia" w:ascii="微软雅黑" w:hAnsi="微软雅黑" w:eastAsia="微软雅黑"/>
          <w:bCs/>
          <w:sz w:val="24"/>
          <w:szCs w:val="24"/>
        </w:rPr>
        <w:t>服务承诺书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15、</w:t>
      </w:r>
      <w:r>
        <w:rPr>
          <w:rFonts w:hint="eastAsia" w:ascii="微软雅黑" w:hAnsi="微软雅黑" w:eastAsia="微软雅黑"/>
          <w:bCs/>
          <w:spacing w:val="8"/>
          <w:sz w:val="24"/>
          <w:szCs w:val="24"/>
        </w:rPr>
        <w:t>如有，提供进口原材料证明书或产品报关资料等</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16、产品说明书或</w:t>
      </w:r>
      <w:r>
        <w:rPr>
          <w:rFonts w:hint="eastAsia" w:ascii="微软雅黑" w:hAnsi="微软雅黑" w:eastAsia="微软雅黑"/>
          <w:sz w:val="24"/>
          <w:szCs w:val="24"/>
        </w:rPr>
        <w:t>与投标产品型号一致的产品彩页资料和其他有关介绍资料。业绩证明文件（近三年用户名单及联系人与联系方式及合同复印件或近三个月内送货复印件，格式见附件3）。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17、</w:t>
      </w:r>
      <w:r>
        <w:rPr>
          <w:rFonts w:hint="eastAsia" w:ascii="微软雅黑" w:hAnsi="微软雅黑" w:eastAsia="微软雅黑"/>
          <w:bCs/>
          <w:sz w:val="24"/>
          <w:szCs w:val="24"/>
        </w:rPr>
        <w:t>如有物流公司配送，请提供</w:t>
      </w:r>
      <w:r>
        <w:rPr>
          <w:rFonts w:hint="eastAsia" w:ascii="微软雅黑" w:hAnsi="微软雅黑" w:eastAsia="微软雅黑"/>
          <w:sz w:val="24"/>
          <w:szCs w:val="24"/>
        </w:rPr>
        <w:t>配送证明材料：配送商基本情况、配送商营业执照复印件、配送商经营许可证复印件</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18、</w:t>
      </w:r>
      <w:r>
        <w:rPr>
          <w:rFonts w:hint="eastAsia" w:ascii="微软雅黑" w:hAnsi="微软雅黑" w:eastAsia="微软雅黑"/>
          <w:sz w:val="24"/>
          <w:szCs w:val="24"/>
        </w:rPr>
        <w:t>如有，国家规定的其它相关资质证明文件或其它涉及特许经营许可的须提供相关证书。如：卫生许可证、药品经营许可证、生产批件或新药证书等；</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19、封底</w:t>
      </w:r>
    </w:p>
    <w:p>
      <w:pPr>
        <w:tabs>
          <w:tab w:val="left" w:pos="0"/>
        </w:tabs>
        <w:spacing w:line="0" w:lineRule="atLeast"/>
        <w:ind w:firstLine="480" w:firstLineChars="200"/>
        <w:rPr>
          <w:rFonts w:ascii="微软雅黑" w:hAnsi="微软雅黑" w:eastAsia="微软雅黑"/>
          <w:bCs/>
          <w:sz w:val="24"/>
          <w:szCs w:val="24"/>
        </w:rPr>
      </w:pPr>
    </w:p>
    <w:p>
      <w:pPr>
        <w:spacing w:line="0" w:lineRule="atLeast"/>
        <w:rPr>
          <w:rFonts w:ascii="微软雅黑" w:hAnsi="微软雅黑" w:eastAsia="微软雅黑"/>
          <w:b/>
          <w:sz w:val="24"/>
          <w:szCs w:val="24"/>
        </w:rPr>
      </w:pPr>
      <w:r>
        <w:rPr>
          <w:rFonts w:hint="eastAsia" w:ascii="微软雅黑" w:hAnsi="微软雅黑" w:eastAsia="微软雅黑"/>
          <w:b/>
          <w:bCs/>
          <w:sz w:val="24"/>
          <w:szCs w:val="24"/>
        </w:rPr>
        <w:t>注：请务必按以上顺序装订资料，如有非中文资料，请同时提供中文翻译件。</w:t>
      </w:r>
    </w:p>
    <w:p>
      <w:pPr>
        <w:rPr>
          <w:rFonts w:ascii="仿宋_GB2312" w:hAnsi="宋体" w:eastAsia="仿宋_GB2312"/>
          <w:b/>
          <w:sz w:val="24"/>
        </w:rPr>
      </w:pPr>
    </w:p>
    <w:p>
      <w:pPr>
        <w:rPr>
          <w:rFonts w:ascii="仿宋_GB2312" w:hAnsi="宋体" w:eastAsia="仿宋_GB2312"/>
          <w:b/>
          <w:sz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cs="Times New Roman"/>
          <w:b/>
          <w:color w:val="000000"/>
          <w:sz w:val="28"/>
          <w:szCs w:val="21"/>
        </w:rPr>
      </w:pPr>
      <w:r>
        <w:rPr>
          <w:rFonts w:hint="eastAsia" w:ascii="微软雅黑" w:hAnsi="微软雅黑" w:eastAsia="微软雅黑" w:cs="Times New Roman"/>
          <w:b/>
          <w:color w:val="000000"/>
          <w:sz w:val="28"/>
          <w:szCs w:val="21"/>
        </w:rPr>
        <w:t>附件3：</w:t>
      </w:r>
    </w:p>
    <w:p>
      <w:pPr>
        <w:adjustRightInd w:val="0"/>
        <w:spacing w:line="400" w:lineRule="exact"/>
        <w:jc w:val="center"/>
        <w:rPr>
          <w:rFonts w:ascii="微软雅黑" w:hAnsi="微软雅黑" w:eastAsia="微软雅黑"/>
          <w:b/>
          <w:sz w:val="24"/>
        </w:rPr>
      </w:pPr>
      <w:r>
        <w:rPr>
          <w:rFonts w:hint="eastAsia" w:ascii="微软雅黑" w:hAnsi="微软雅黑" w:eastAsia="微软雅黑"/>
          <w:sz w:val="32"/>
          <w:szCs w:val="32"/>
        </w:rPr>
        <w:t>报价一览表</w:t>
      </w:r>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宋体-方正超大字符集"/>
                <w:sz w:val="24"/>
              </w:rPr>
            </w:pPr>
            <w:r>
              <w:rPr>
                <w:rFonts w:hint="eastAsia" w:ascii="微软雅黑" w:hAnsi="微软雅黑" w:eastAsia="微软雅黑"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Times New Roman"/>
                <w:sz w:val="24"/>
              </w:rPr>
            </w:pPr>
            <w:r>
              <w:rPr>
                <w:rFonts w:hint="eastAsia" w:ascii="微软雅黑" w:hAnsi="微软雅黑" w:eastAsia="微软雅黑"/>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4"/>
              </w:rPr>
            </w:pPr>
            <w:r>
              <w:rPr>
                <w:rFonts w:hint="eastAsia" w:ascii="微软雅黑" w:hAnsi="微软雅黑" w:eastAsia="微软雅黑"/>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bl>
    <w:p>
      <w:pPr>
        <w:spacing w:line="400" w:lineRule="exact"/>
        <w:ind w:firstLine="480"/>
        <w:jc w:val="left"/>
        <w:rPr>
          <w:rFonts w:ascii="微软雅黑" w:hAnsi="微软雅黑" w:eastAsia="微软雅黑" w:cs="Times New Roman"/>
          <w:sz w:val="24"/>
        </w:rPr>
      </w:pPr>
      <w:r>
        <w:rPr>
          <w:rFonts w:hint="eastAsia" w:ascii="微软雅黑" w:hAnsi="微软雅黑" w:eastAsia="微软雅黑"/>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3.“品目及报价表”为多页的，每页均需由法定代表人或授权代表签字并盖投标人印章。</w:t>
      </w:r>
    </w:p>
    <w:p>
      <w:pPr>
        <w:spacing w:line="400" w:lineRule="exact"/>
        <w:ind w:firstLine="480"/>
        <w:jc w:val="left"/>
        <w:rPr>
          <w:rFonts w:ascii="微软雅黑" w:hAnsi="微软雅黑" w:eastAsia="微软雅黑"/>
          <w:sz w:val="24"/>
        </w:rPr>
      </w:pPr>
      <w:r>
        <w:rPr>
          <w:rFonts w:hint="eastAsia" w:ascii="微软雅黑" w:hAnsi="微软雅黑" w:eastAsia="微软雅黑"/>
          <w:sz w:val="24"/>
        </w:rPr>
        <w:t>4.“品目及报价表”需单独密封。</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供应商名称（盖章）：        </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法定代表人或授权代表（签字）：                   </w:t>
      </w:r>
      <w:r>
        <w:rPr>
          <w:rFonts w:hint="eastAsia" w:ascii="微软雅黑" w:hAnsi="微软雅黑" w:eastAsia="微软雅黑"/>
          <w:bCs/>
          <w:sz w:val="24"/>
        </w:rPr>
        <w:t>联系方式：</w:t>
      </w:r>
      <w:r>
        <w:rPr>
          <w:rFonts w:hint="eastAsia" w:ascii="微软雅黑" w:hAnsi="微软雅黑" w:eastAsia="微软雅黑"/>
          <w:bCs/>
          <w:sz w:val="24"/>
          <w:u w:val="single"/>
        </w:rPr>
        <w:t xml:space="preserve">        </w:t>
      </w:r>
    </w:p>
    <w:p>
      <w:pPr>
        <w:spacing w:line="400" w:lineRule="exact"/>
        <w:ind w:firstLine="480"/>
        <w:rPr>
          <w:rFonts w:ascii="微软雅黑" w:hAnsi="微软雅黑" w:eastAsia="微软雅黑"/>
          <w:sz w:val="24"/>
        </w:rPr>
      </w:pPr>
      <w:r>
        <w:rPr>
          <w:rFonts w:hint="eastAsia" w:ascii="微软雅黑" w:hAnsi="微软雅黑" w:eastAsia="微软雅黑"/>
          <w:sz w:val="24"/>
        </w:rPr>
        <w:t>日期：</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spacing w:line="360" w:lineRule="auto"/>
        <w:jc w:val="center"/>
        <w:rPr>
          <w:rFonts w:ascii="微软雅黑" w:hAnsi="微软雅黑" w:eastAsia="微软雅黑"/>
          <w:bCs/>
          <w:sz w:val="32"/>
          <w:szCs w:val="32"/>
        </w:rPr>
      </w:pPr>
      <w:r>
        <w:rPr>
          <w:rFonts w:hint="eastAsia" w:ascii="微软雅黑" w:hAnsi="微软雅黑" w:eastAsia="微软雅黑"/>
          <w:sz w:val="32"/>
          <w:szCs w:val="32"/>
        </w:rPr>
        <w:t>规格型号、配置及偏离表</w:t>
      </w:r>
    </w:p>
    <w:tbl>
      <w:tblPr>
        <w:tblStyle w:val="8"/>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bl>
    <w:p>
      <w:pPr>
        <w:spacing w:line="360" w:lineRule="auto"/>
        <w:ind w:firstLine="480" w:firstLineChars="200"/>
        <w:rPr>
          <w:rFonts w:ascii="微软雅黑" w:hAnsi="微软雅黑" w:eastAsia="微软雅黑" w:cs="Times New Roman"/>
          <w:b/>
          <w:sz w:val="24"/>
        </w:rPr>
      </w:pPr>
      <w:r>
        <w:rPr>
          <w:rFonts w:hint="eastAsia" w:ascii="微软雅黑" w:hAnsi="微软雅黑" w:eastAsia="微软雅黑"/>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360" w:firstLineChars="150"/>
        <w:jc w:val="left"/>
        <w:rPr>
          <w:rFonts w:ascii="微软雅黑" w:hAnsi="微软雅黑" w:eastAsia="微软雅黑"/>
          <w:bCs/>
          <w:sz w:val="24"/>
        </w:rPr>
      </w:pPr>
      <w:r>
        <w:rPr>
          <w:rFonts w:hint="eastAsia" w:ascii="微软雅黑" w:hAnsi="微软雅黑" w:eastAsia="微软雅黑"/>
          <w:bCs/>
          <w:sz w:val="24"/>
        </w:rPr>
        <w:t>日期:</w:t>
      </w:r>
    </w:p>
    <w:p>
      <w:pPr>
        <w:jc w:val="center"/>
        <w:rPr>
          <w:rFonts w:ascii="微软雅黑" w:hAnsi="微软雅黑" w:eastAsia="微软雅黑"/>
          <w:b/>
          <w:bCs/>
          <w:sz w:val="24"/>
        </w:rPr>
      </w:pPr>
    </w:p>
    <w:p>
      <w:pPr>
        <w:jc w:val="center"/>
        <w:rPr>
          <w:rFonts w:ascii="微软雅黑" w:hAnsi="微软雅黑" w:eastAsia="微软雅黑"/>
          <w:sz w:val="32"/>
          <w:szCs w:val="32"/>
        </w:rPr>
      </w:pPr>
      <w:r>
        <w:rPr>
          <w:rFonts w:hint="eastAsia" w:ascii="微软雅黑" w:hAnsi="微软雅黑" w:eastAsia="微软雅黑"/>
          <w:sz w:val="32"/>
          <w:szCs w:val="32"/>
        </w:rPr>
        <w:t>用户情况表</w:t>
      </w:r>
    </w:p>
    <w:p>
      <w:pPr>
        <w:jc w:val="center"/>
        <w:rPr>
          <w:rFonts w:ascii="微软雅黑" w:hAnsi="微软雅黑" w:eastAsia="微软雅黑"/>
          <w:sz w:val="32"/>
          <w:szCs w:val="32"/>
        </w:rPr>
      </w:pPr>
    </w:p>
    <w:tbl>
      <w:tblPr>
        <w:tblStyle w:val="8"/>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省外三级医院单位用户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省内三级医院用户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bl>
    <w:p>
      <w:pPr>
        <w:spacing w:line="360" w:lineRule="auto"/>
        <w:rPr>
          <w:rFonts w:ascii="微软雅黑" w:hAnsi="微软雅黑" w:eastAsia="微软雅黑" w:cs="Times New Roman"/>
          <w:b/>
          <w:bCs/>
          <w:sz w:val="24"/>
        </w:rPr>
      </w:pPr>
    </w:p>
    <w:p>
      <w:pPr>
        <w:ind w:firstLine="480" w:firstLineChars="200"/>
        <w:rPr>
          <w:rFonts w:ascii="微软雅黑" w:hAnsi="微软雅黑" w:eastAsia="微软雅黑"/>
          <w:sz w:val="24"/>
        </w:rPr>
      </w:pPr>
      <w:r>
        <w:rPr>
          <w:rFonts w:hint="eastAsia" w:ascii="微软雅黑" w:hAnsi="微软雅黑" w:eastAsia="微软雅黑"/>
          <w:sz w:val="24"/>
        </w:rPr>
        <w:t>说明：1、表中产品为近三年销售，用户仍在使用的货物；2、只填写本次投标产品型号或与本次投标产品相当的型号。</w:t>
      </w:r>
    </w:p>
    <w:p>
      <w:pPr>
        <w:adjustRightInd w:val="0"/>
        <w:spacing w:line="360" w:lineRule="auto"/>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448" w:firstLineChars="187"/>
        <w:jc w:val="left"/>
        <w:rPr>
          <w:rFonts w:ascii="微软雅黑" w:hAnsi="微软雅黑" w:eastAsia="微软雅黑"/>
          <w:b/>
          <w:sz w:val="24"/>
        </w:rPr>
      </w:pPr>
      <w:r>
        <w:rPr>
          <w:rFonts w:hint="eastAsia" w:ascii="微软雅黑" w:hAnsi="微软雅黑" w:eastAsia="微软雅黑"/>
          <w:sz w:val="24"/>
        </w:rPr>
        <w:t>日期</w:t>
      </w:r>
      <w:r>
        <w:rPr>
          <w:rFonts w:hint="eastAsia" w:ascii="微软雅黑" w:hAnsi="微软雅黑" w:eastAsia="微软雅黑"/>
          <w:b/>
          <w:sz w:val="24"/>
        </w:rPr>
        <w:t>:</w:t>
      </w:r>
    </w:p>
    <w:p>
      <w:pPr>
        <w:spacing w:line="360" w:lineRule="auto"/>
        <w:ind w:firstLine="449" w:firstLineChars="187"/>
        <w:jc w:val="left"/>
        <w:rPr>
          <w:rFonts w:ascii="微软雅黑" w:hAnsi="微软雅黑" w:eastAsia="微软雅黑"/>
          <w:b/>
          <w:sz w:val="24"/>
        </w:rPr>
      </w:pPr>
    </w:p>
    <w:p>
      <w:pPr>
        <w:spacing w:line="360" w:lineRule="auto"/>
        <w:ind w:firstLine="449" w:firstLineChars="187"/>
        <w:jc w:val="left"/>
        <w:rPr>
          <w:rFonts w:ascii="微软雅黑" w:hAnsi="微软雅黑" w:eastAsia="微软雅黑"/>
          <w:b/>
          <w:sz w:val="24"/>
        </w:rPr>
      </w:pPr>
    </w:p>
    <w:p>
      <w:pPr>
        <w:pStyle w:val="3"/>
        <w:tabs>
          <w:tab w:val="left" w:pos="540"/>
        </w:tabs>
        <w:ind w:left="720" w:hanging="720"/>
        <w:jc w:val="center"/>
        <w:rPr>
          <w:rFonts w:ascii="微软雅黑" w:hAnsi="微软雅黑" w:eastAsia="微软雅黑"/>
          <w:b w:val="0"/>
          <w:sz w:val="32"/>
          <w:lang w:val="zh-CN"/>
        </w:rPr>
      </w:pPr>
      <w:bookmarkStart w:id="1" w:name="_Toc174767233"/>
      <w:bookmarkStart w:id="2" w:name="_Toc237343703"/>
      <w:bookmarkStart w:id="3" w:name="_Toc95295163"/>
      <w:r>
        <w:rPr>
          <w:rFonts w:hint="eastAsia" w:ascii="微软雅黑" w:hAnsi="微软雅黑" w:eastAsia="微软雅黑"/>
          <w:lang w:val="zh-CN"/>
        </w:rPr>
        <w:t>法定代表人身份授权书</w:t>
      </w:r>
    </w:p>
    <w:p>
      <w:pPr>
        <w:tabs>
          <w:tab w:val="left" w:pos="6300"/>
        </w:tabs>
        <w:spacing w:line="360" w:lineRule="auto"/>
        <w:rPr>
          <w:rFonts w:ascii="微软雅黑" w:hAnsi="微软雅黑" w:eastAsia="微软雅黑"/>
          <w:sz w:val="24"/>
          <w:lang w:val="zh-CN"/>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（采购单位名称）：</w:t>
      </w:r>
    </w:p>
    <w:p>
      <w:pPr>
        <w:tabs>
          <w:tab w:val="left" w:pos="720"/>
          <w:tab w:val="left" w:pos="6300"/>
        </w:tabs>
        <w:spacing w:line="360" w:lineRule="auto"/>
        <w:ind w:firstLine="573"/>
        <w:rPr>
          <w:rFonts w:ascii="微软雅黑" w:hAnsi="微软雅黑" w:eastAsia="微软雅黑"/>
          <w:sz w:val="24"/>
          <w:u w:val="single"/>
          <w:lang w:val="zh-CN"/>
        </w:rPr>
      </w:pPr>
      <w:r>
        <w:rPr>
          <w:rFonts w:hint="eastAsia" w:ascii="微软雅黑" w:hAnsi="微软雅黑" w:eastAsia="微软雅黑"/>
          <w:sz w:val="24"/>
          <w:lang w:val="zh-CN"/>
        </w:rPr>
        <w:t xml:space="preserve">   本授权声明：</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（投标人名称）</w:t>
      </w:r>
      <w:r>
        <w:rPr>
          <w:rFonts w:hint="eastAsia" w:ascii="微软雅黑" w:hAnsi="微软雅黑" w:eastAsia="微软雅黑"/>
          <w:sz w:val="24"/>
          <w:u w:val="single"/>
          <w:lang w:val="zh-CN"/>
        </w:rPr>
        <w:t xml:space="preserve">           </w:t>
      </w:r>
    </w:p>
    <w:p>
      <w:pPr>
        <w:tabs>
          <w:tab w:val="left" w:pos="720"/>
          <w:tab w:val="left" w:pos="6300"/>
        </w:tabs>
        <w:spacing w:line="360" w:lineRule="auto"/>
        <w:rPr>
          <w:rFonts w:ascii="微软雅黑" w:hAnsi="微软雅黑" w:eastAsia="微软雅黑"/>
          <w:sz w:val="24"/>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（法定代表人姓名、职务）授权</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（被授权人姓名、职务）为我方</w:t>
      </w:r>
      <w:r>
        <w:rPr>
          <w:rFonts w:hint="eastAsia" w:ascii="微软雅黑" w:hAnsi="微软雅黑" w:eastAsia="微软雅黑"/>
          <w:sz w:val="24"/>
          <w:u w:val="single"/>
          <w:lang w:val="zh-CN"/>
        </w:rPr>
        <w:t xml:space="preserve"> “                                          ”</w:t>
      </w:r>
      <w:r>
        <w:rPr>
          <w:rFonts w:hint="eastAsia" w:ascii="微软雅黑" w:hAnsi="微软雅黑" w:eastAsia="微软雅黑"/>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特此声明。</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法定代表人签字：</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授权代表签字：</w:t>
      </w:r>
    </w:p>
    <w:p>
      <w:pPr>
        <w:spacing w:line="360" w:lineRule="auto"/>
        <w:ind w:firstLine="480"/>
        <w:rPr>
          <w:rFonts w:ascii="微软雅黑" w:hAnsi="微软雅黑" w:eastAsia="微软雅黑"/>
          <w:sz w:val="24"/>
        </w:rPr>
      </w:pPr>
      <w:r>
        <w:rPr>
          <w:rFonts w:hint="eastAsia" w:ascii="微软雅黑" w:hAnsi="微软雅黑" w:eastAsia="微软雅黑"/>
          <w:sz w:val="24"/>
        </w:rPr>
        <w:t>投标人名称：</w:t>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 xml:space="preserve">      （加盖公章）</w:t>
      </w:r>
    </w:p>
    <w:p>
      <w:pPr>
        <w:spacing w:line="360" w:lineRule="auto"/>
        <w:ind w:firstLine="480"/>
        <w:rPr>
          <w:rFonts w:ascii="微软雅黑" w:hAnsi="微软雅黑" w:eastAsia="微软雅黑"/>
          <w:sz w:val="24"/>
        </w:rPr>
      </w:pPr>
      <w:r>
        <w:rPr>
          <w:rFonts w:hint="eastAsia" w:ascii="微软雅黑" w:hAnsi="微软雅黑" w:eastAsia="微软雅黑"/>
          <w:sz w:val="24"/>
        </w:rPr>
        <w:t>日期：</w:t>
      </w:r>
    </w:p>
    <w:p>
      <w:pPr>
        <w:numPr>
          <w:ilvl w:val="0"/>
          <w:numId w:val="2"/>
        </w:numPr>
        <w:tabs>
          <w:tab w:val="left" w:pos="6300"/>
        </w:tabs>
        <w:spacing w:line="360" w:lineRule="auto"/>
        <w:rPr>
          <w:rFonts w:ascii="微软雅黑" w:hAnsi="微软雅黑" w:eastAsia="微软雅黑"/>
          <w:sz w:val="24"/>
        </w:rPr>
      </w:pPr>
      <w:r>
        <w:rPr>
          <w:rFonts w:hint="eastAsia" w:ascii="微软雅黑" w:hAnsi="微软雅黑" w:eastAsia="微软雅黑"/>
          <w:sz w:val="24"/>
        </w:rPr>
        <w:t>说明：上述证明文件附有法定代表人、被授权代表身份证复印件（加盖公章）时才能生效。</w:t>
      </w:r>
      <w:bookmarkEnd w:id="1"/>
      <w:bookmarkEnd w:id="2"/>
      <w:bookmarkEnd w:id="3"/>
    </w:p>
    <w:p>
      <w:pPr>
        <w:tabs>
          <w:tab w:val="left" w:pos="480"/>
          <w:tab w:val="left" w:pos="6300"/>
        </w:tabs>
        <w:spacing w:line="360" w:lineRule="auto"/>
        <w:ind w:left="480"/>
        <w:rPr>
          <w:rFonts w:ascii="微软雅黑" w:hAnsi="微软雅黑" w:eastAsia="微软雅黑"/>
          <w:sz w:val="24"/>
        </w:rPr>
      </w:pPr>
    </w:p>
    <w:p>
      <w:pPr>
        <w:rPr>
          <w:rFonts w:hint="eastAsia" w:ascii="微软雅黑" w:hAnsi="微软雅黑" w:eastAsia="微软雅黑"/>
          <w:sz w:val="32"/>
          <w:szCs w:val="32"/>
        </w:rPr>
      </w:pPr>
      <w:r>
        <w:rPr>
          <w:rFonts w:hint="eastAsia" w:ascii="微软雅黑" w:hAnsi="微软雅黑" w:eastAsia="微软雅黑"/>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cs="Times New Roman"/>
          <w:b/>
          <w:color w:val="000000"/>
          <w:sz w:val="28"/>
          <w:szCs w:val="21"/>
        </w:rPr>
      </w:pPr>
      <w:r>
        <w:rPr>
          <w:rFonts w:hint="eastAsia" w:ascii="微软雅黑" w:hAnsi="微软雅黑" w:eastAsia="微软雅黑" w:cs="Times New Roman"/>
          <w:b/>
          <w:color w:val="000000"/>
          <w:sz w:val="28"/>
          <w:szCs w:val="21"/>
        </w:rPr>
        <w:t>附件4：</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ascii="微软雅黑" w:hAnsi="微软雅黑" w:eastAsia="微软雅黑"/>
          <w:sz w:val="32"/>
          <w:szCs w:val="32"/>
        </w:rPr>
      </w:pPr>
      <w:r>
        <w:rPr>
          <w:rFonts w:hint="eastAsia" w:ascii="微软雅黑" w:hAnsi="微软雅黑" w:eastAsia="微软雅黑"/>
          <w:sz w:val="32"/>
          <w:szCs w:val="32"/>
        </w:rPr>
        <w:t>反商业贿赂承诺书</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rPr>
        <w:t>一、</w:t>
      </w:r>
      <w:r>
        <w:rPr>
          <w:rFonts w:hint="eastAsia" w:ascii="微软雅黑" w:hAnsi="微软雅黑" w:eastAsia="微软雅黑"/>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 xml:space="preserve">六、 采购物资名称：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微软雅黑" w:hAnsi="微软雅黑" w:eastAsia="微软雅黑"/>
          <w:szCs w:val="21"/>
        </w:rPr>
      </w:pP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Segoe UI" w:hAnsi="Segoe UI" w:eastAsia="宋体" w:cs="Segoe UI"/>
          <w:color w:val="333333"/>
          <w:kern w:val="0"/>
          <w:sz w:val="18"/>
          <w:szCs w:val="18"/>
        </w:rPr>
      </w:pPr>
      <w:r>
        <w:rPr>
          <w:rFonts w:hint="eastAsia" w:ascii="微软雅黑" w:hAnsi="微软雅黑" w:eastAsia="微软雅黑"/>
          <w:szCs w:val="21"/>
        </w:rPr>
        <w:t xml:space="preserve">承诺企业名称（公章）                     法人代表或委托代理人（承诺人）  </w:t>
      </w:r>
    </w:p>
    <w:p>
      <w:pPr>
        <w:pStyle w:val="2"/>
      </w:pPr>
    </w:p>
    <w:p>
      <w:pPr>
        <w:rPr>
          <w:rFonts w:hint="eastAsia" w:ascii="宋体" w:hAnsi="宋体" w:cs="仿宋"/>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B2504"/>
    <w:multiLevelType w:val="singleLevel"/>
    <w:tmpl w:val="BE8B2504"/>
    <w:lvl w:ilvl="0" w:tentative="0">
      <w:start w:val="1"/>
      <w:numFmt w:val="decimal"/>
      <w:suff w:val="nothing"/>
      <w:lvlText w:val="%1）"/>
      <w:lvlJc w:val="left"/>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1D"/>
    <w:rsid w:val="0000019A"/>
    <w:rsid w:val="00166356"/>
    <w:rsid w:val="0022701F"/>
    <w:rsid w:val="004B0747"/>
    <w:rsid w:val="004F3421"/>
    <w:rsid w:val="005217EF"/>
    <w:rsid w:val="005C5391"/>
    <w:rsid w:val="006F21B3"/>
    <w:rsid w:val="007B5389"/>
    <w:rsid w:val="00AB5B29"/>
    <w:rsid w:val="00B1383C"/>
    <w:rsid w:val="00B42326"/>
    <w:rsid w:val="00B8054A"/>
    <w:rsid w:val="00B9712D"/>
    <w:rsid w:val="00BB471D"/>
    <w:rsid w:val="00D3674D"/>
    <w:rsid w:val="00DE4BA4"/>
    <w:rsid w:val="00E46288"/>
    <w:rsid w:val="00E93975"/>
    <w:rsid w:val="00F549FF"/>
    <w:rsid w:val="00FF0DAA"/>
    <w:rsid w:val="08BA4DCA"/>
    <w:rsid w:val="0ED53C7C"/>
    <w:rsid w:val="17FD1518"/>
    <w:rsid w:val="18027BC0"/>
    <w:rsid w:val="222825CB"/>
    <w:rsid w:val="23A2634E"/>
    <w:rsid w:val="2D231954"/>
    <w:rsid w:val="2D634AEE"/>
    <w:rsid w:val="32CA7F89"/>
    <w:rsid w:val="363C268D"/>
    <w:rsid w:val="36617FF5"/>
    <w:rsid w:val="4A422147"/>
    <w:rsid w:val="57C83054"/>
    <w:rsid w:val="65714C73"/>
    <w:rsid w:val="688420D3"/>
    <w:rsid w:val="6AF47BFA"/>
    <w:rsid w:val="6CD14E96"/>
    <w:rsid w:val="6DAC3217"/>
    <w:rsid w:val="6F26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keepNext/>
      <w:keepLines/>
      <w:spacing w:before="260" w:after="260" w:line="440" w:lineRule="exact"/>
      <w:outlineLvl w:val="1"/>
    </w:pPr>
    <w:rPr>
      <w:rFonts w:ascii="Arial" w:hAnsi="Arial"/>
      <w:b/>
      <w:bCs/>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99"/>
    <w:pPr>
      <w:spacing w:after="120"/>
    </w:pPr>
  </w:style>
  <w:style w:type="paragraph" w:styleId="4">
    <w:name w:val="Normal Indent"/>
    <w:basedOn w:val="1"/>
    <w:link w:val="15"/>
    <w:qFormat/>
    <w:uiPriority w:val="0"/>
    <w:pPr>
      <w:ind w:firstLine="200" w:firstLineChars="200"/>
    </w:pPr>
  </w:style>
  <w:style w:type="paragraph" w:styleId="5">
    <w:name w:val="Body Text Indent"/>
    <w:basedOn w:val="1"/>
    <w:link w:val="18"/>
    <w:semiHidden/>
    <w:unhideWhenUsed/>
    <w:qFormat/>
    <w:uiPriority w:val="99"/>
    <w:pPr>
      <w:spacing w:after="120"/>
      <w:ind w:left="420" w:leftChars="200"/>
    </w:p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标题 2 字符"/>
    <w:basedOn w:val="9"/>
    <w:link w:val="3"/>
    <w:qFormat/>
    <w:uiPriority w:val="0"/>
    <w:rPr>
      <w:rFonts w:ascii="Arial" w:hAnsi="Arial" w:eastAsia="宋体" w:cs="Times New Roman"/>
      <w:b/>
      <w:bCs/>
      <w:sz w:val="24"/>
      <w:szCs w:val="32"/>
    </w:rPr>
  </w:style>
  <w:style w:type="character" w:customStyle="1" w:styleId="13">
    <w:name w:val="正文文本 字符"/>
    <w:basedOn w:val="9"/>
    <w:link w:val="2"/>
    <w:qFormat/>
    <w:uiPriority w:val="99"/>
    <w:rPr>
      <w:rFonts w:ascii="Times New Roman" w:hAnsi="Times New Roman" w:eastAsia="宋体" w:cs="Times New Roman"/>
      <w:szCs w:val="24"/>
    </w:rPr>
  </w:style>
  <w:style w:type="paragraph" w:customStyle="1" w:styleId="14">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15">
    <w:name w:val="正文缩进 字符"/>
    <w:link w:val="4"/>
    <w:qFormat/>
    <w:uiPriority w:val="0"/>
    <w:rPr>
      <w:rFonts w:ascii="Times New Roman" w:hAnsi="Times New Roman" w:eastAsia="宋体" w:cs="Times New Roman"/>
      <w:szCs w:val="24"/>
    </w:rPr>
  </w:style>
  <w:style w:type="paragraph" w:customStyle="1" w:styleId="16">
    <w:name w:val="列表段落1"/>
    <w:basedOn w:val="1"/>
    <w:qFormat/>
    <w:uiPriority w:val="34"/>
    <w:pPr>
      <w:ind w:firstLine="420" w:firstLineChars="200"/>
    </w:pPr>
  </w:style>
  <w:style w:type="paragraph" w:customStyle="1" w:styleId="17">
    <w:name w:val="正文4"/>
    <w:qFormat/>
    <w:uiPriority w:val="0"/>
    <w:pPr>
      <w:jc w:val="both"/>
    </w:pPr>
    <w:rPr>
      <w:rFonts w:ascii="宋体" w:hAnsi="宋体" w:eastAsia="宋体" w:cs="宋体"/>
      <w:kern w:val="2"/>
      <w:sz w:val="21"/>
      <w:szCs w:val="21"/>
      <w:lang w:val="en-US" w:eastAsia="zh-CN" w:bidi="ar-SA"/>
    </w:rPr>
  </w:style>
  <w:style w:type="character" w:customStyle="1" w:styleId="18">
    <w:name w:val="正文文本缩进 字符"/>
    <w:basedOn w:val="9"/>
    <w:link w:val="5"/>
    <w:semiHidden/>
    <w:qFormat/>
    <w:uiPriority w:val="99"/>
    <w:rPr>
      <w:rFonts w:ascii="Times New Roman" w:hAnsi="Times New Roman" w:eastAsia="宋体" w:cs="Times New Roman"/>
      <w:szCs w:val="24"/>
    </w:rPr>
  </w:style>
  <w:style w:type="paragraph" w:customStyle="1" w:styleId="19">
    <w:name w:val="Default"/>
    <w:qFormat/>
    <w:uiPriority w:val="0"/>
    <w:pPr>
      <w:widowControl w:val="0"/>
      <w:autoSpaceDE w:val="0"/>
      <w:autoSpaceDN w:val="0"/>
      <w:adjustRightInd w:val="0"/>
    </w:pPr>
    <w:rPr>
      <w:rFonts w:ascii="......." w:hAnsi="......." w:eastAsia="......." w:cs="......."/>
      <w:color w:val="000000"/>
      <w:kern w:val="0"/>
      <w:sz w:val="24"/>
      <w:szCs w:val="24"/>
      <w:lang w:val="en-US" w:eastAsia="zh-CN" w:bidi="ar-SA"/>
    </w:rPr>
  </w:style>
  <w:style w:type="paragraph" w:customStyle="1" w:styleId="20">
    <w:name w:val="正文首行缩进1"/>
    <w:basedOn w:val="2"/>
    <w:qFormat/>
    <w:uiPriority w:val="0"/>
    <w:pPr>
      <w:spacing w:before="100" w:beforeAutospacing="1"/>
      <w:ind w:firstLine="420" w:firstLineChars="1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1269</Words>
  <Characters>7238</Characters>
  <Lines>60</Lines>
  <Paragraphs>16</Paragraphs>
  <TotalTime>6</TotalTime>
  <ScaleCrop>false</ScaleCrop>
  <LinksUpToDate>false</LinksUpToDate>
  <CharactersWithSpaces>8491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2022-04-18T13:24:00Z</dcterms:created>
  <dc:creator>jiang</dc:creator>
  <cp:lastModifiedBy>胡瑞</cp:lastModifiedBy>
  <dcterms:modified xsi:type="dcterms:W3CDTF">2022-05-11T08:13:22Z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