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pStyle w:val="2"/>
        <w:keepNext w:val="0"/>
        <w:keepLines w:val="0"/>
        <w:spacing w:before="0" w:after="0" w:line="360" w:lineRule="auto"/>
        <w:ind w:firstLine="118" w:firstLineChars="49"/>
        <w:jc w:val="left"/>
        <w:rPr>
          <w:rFonts w:ascii="宋体" w:hAnsi="宋体" w:eastAsia="宋体" w:cs="仿宋"/>
          <w:bCs w:val="0"/>
          <w:sz w:val="24"/>
          <w:szCs w:val="24"/>
        </w:rPr>
      </w:pPr>
    </w:p>
    <w:p>
      <w:pPr>
        <w:pStyle w:val="2"/>
        <w:keepNext w:val="0"/>
        <w:keepLines w:val="0"/>
        <w:spacing w:before="0" w:after="0" w:line="360" w:lineRule="auto"/>
        <w:ind w:firstLine="472" w:firstLineChars="196"/>
        <w:jc w:val="left"/>
        <w:rPr>
          <w:rFonts w:ascii="宋体" w:hAnsi="宋体" w:eastAsia="宋体" w:cs="仿宋"/>
        </w:rPr>
      </w:pPr>
      <w:r>
        <w:rPr>
          <w:rFonts w:hint="eastAsia" w:ascii="宋体" w:hAnsi="宋体" w:eastAsia="宋体" w:cs="仿宋"/>
          <w:bCs w:val="0"/>
          <w:sz w:val="24"/>
          <w:szCs w:val="24"/>
        </w:rPr>
        <w:t>前提：本</w:t>
      </w:r>
      <w:r>
        <w:rPr>
          <w:rFonts w:hint="eastAsia" w:ascii="宋体" w:hAnsi="宋体" w:eastAsia="宋体" w:cs="仿宋"/>
          <w:bCs w:val="0"/>
          <w:sz w:val="24"/>
          <w:szCs w:val="24"/>
          <w:lang w:val="en-US" w:eastAsia="zh-CN"/>
        </w:rPr>
        <w:t>附件</w:t>
      </w:r>
      <w:r>
        <w:rPr>
          <w:rFonts w:hint="eastAsia" w:ascii="宋体" w:hAnsi="宋体" w:eastAsia="宋体" w:cs="仿宋"/>
          <w:bCs w:val="0"/>
          <w:sz w:val="24"/>
          <w:szCs w:val="24"/>
        </w:rPr>
        <w:t>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numPr>
          <w:ilvl w:val="0"/>
          <w:numId w:val="1"/>
        </w:numPr>
        <w:spacing w:after="0" w:line="360" w:lineRule="auto"/>
        <w:ind w:firstLine="236" w:firstLineChars="98"/>
        <w:rPr>
          <w:rFonts w:hint="eastAsia" w:ascii="宋体" w:hAnsi="宋体" w:eastAsia="宋体" w:cs="仿宋"/>
          <w:sz w:val="24"/>
          <w:szCs w:val="24"/>
        </w:rPr>
      </w:pPr>
      <w:bookmarkStart w:id="0" w:name="_Toc217446095"/>
      <w:r>
        <w:rPr>
          <w:rFonts w:hint="eastAsia" w:ascii="宋体" w:hAnsi="宋体" w:eastAsia="宋体" w:cs="仿宋"/>
          <w:sz w:val="24"/>
          <w:szCs w:val="24"/>
        </w:rPr>
        <w:t>项目清单：</w:t>
      </w:r>
      <w:bookmarkStart w:id="2" w:name="_GoBack"/>
      <w:bookmarkEnd w:id="2"/>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263"/>
        <w:gridCol w:w="19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526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920"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预估年度测试数</w:t>
            </w:r>
          </w:p>
        </w:tc>
        <w:tc>
          <w:tcPr>
            <w:tcW w:w="120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5263" w:type="dxa"/>
            <w:vAlign w:val="center"/>
          </w:tcPr>
          <w:p>
            <w:pPr>
              <w:widowControl/>
              <w:spacing w:line="360" w:lineRule="auto"/>
              <w:jc w:val="center"/>
              <w:rPr>
                <w:rFonts w:ascii="宋体" w:hAnsi="宋体" w:cs="仿宋"/>
                <w:kern w:val="0"/>
                <w:sz w:val="22"/>
              </w:rPr>
            </w:pPr>
            <w:r>
              <w:rPr>
                <w:rFonts w:hint="eastAsia" w:ascii="宋体" w:hAnsi="宋体" w:cs="仿宋"/>
                <w:kern w:val="0"/>
                <w:sz w:val="22"/>
                <w:lang w:val="en-US" w:eastAsia="zh-CN"/>
              </w:rPr>
              <w:t>人类免疫缺陷病毒（HIV 1+2型）抗体检测</w:t>
            </w:r>
            <w:r>
              <w:rPr>
                <w:rFonts w:hint="eastAsia" w:ascii="宋体" w:hAnsi="宋体" w:cs="仿宋"/>
                <w:kern w:val="0"/>
                <w:sz w:val="22"/>
              </w:rPr>
              <w:t>试剂盒</w:t>
            </w:r>
          </w:p>
        </w:tc>
        <w:tc>
          <w:tcPr>
            <w:tcW w:w="1920" w:type="dxa"/>
            <w:vAlign w:val="center"/>
          </w:tcPr>
          <w:p>
            <w:pPr>
              <w:widowControl/>
              <w:spacing w:line="360" w:lineRule="auto"/>
              <w:jc w:val="center"/>
              <w:rPr>
                <w:rFonts w:ascii="宋体" w:hAnsi="宋体" w:cs="仿宋"/>
                <w:kern w:val="0"/>
                <w:sz w:val="22"/>
              </w:rPr>
            </w:pPr>
            <w:r>
              <w:rPr>
                <w:rFonts w:hint="eastAsia" w:ascii="宋体" w:hAnsi="宋体" w:cs="仿宋"/>
                <w:kern w:val="0"/>
                <w:sz w:val="22"/>
                <w:lang w:val="en-US" w:eastAsia="zh-CN"/>
              </w:rPr>
              <w:t>1</w:t>
            </w:r>
            <w:r>
              <w:rPr>
                <w:rFonts w:hint="eastAsia" w:ascii="宋体" w:hAnsi="宋体" w:cs="仿宋"/>
                <w:kern w:val="0"/>
                <w:sz w:val="22"/>
              </w:rPr>
              <w:t>20测试</w:t>
            </w:r>
          </w:p>
        </w:tc>
        <w:tc>
          <w:tcPr>
            <w:tcW w:w="1206" w:type="dxa"/>
            <w:vAlign w:val="center"/>
          </w:tcPr>
          <w:p>
            <w:pPr>
              <w:widowControl/>
              <w:spacing w:line="360" w:lineRule="auto"/>
              <w:rPr>
                <w:rFonts w:hint="eastAsia" w:ascii="宋体" w:hAnsi="宋体" w:cs="仿宋" w:eastAsiaTheme="minorEastAsia"/>
                <w:kern w:val="0"/>
                <w:sz w:val="22"/>
                <w:lang w:val="en-US" w:eastAsia="zh-CN"/>
              </w:rPr>
            </w:pPr>
            <w:r>
              <w:rPr>
                <w:rFonts w:hint="eastAsia" w:ascii="宋体" w:hAnsi="宋体" w:cs="仿宋"/>
                <w:kern w:val="0"/>
                <w:sz w:val="22"/>
                <w:lang w:val="en-US" w:eastAsia="zh-CN"/>
              </w:rPr>
              <w:t>/</w:t>
            </w:r>
          </w:p>
        </w:tc>
      </w:tr>
    </w:tbl>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二、项目要求</w:t>
      </w:r>
      <w:bookmarkEnd w:id="0"/>
      <w:r>
        <w:rPr>
          <w:rFonts w:hint="eastAsia" w:ascii="宋体" w:hAnsi="宋体" w:eastAsia="宋体" w:cs="仿宋"/>
          <w:sz w:val="24"/>
          <w:szCs w:val="24"/>
        </w:rPr>
        <w:t>：</w:t>
      </w:r>
    </w:p>
    <w:p>
      <w:pPr>
        <w:pStyle w:val="3"/>
        <w:ind w:left="283" w:leftChars="135" w:firstLine="0" w:firstLineChars="0"/>
        <w:rPr>
          <w:rFonts w:hint="eastAsia" w:ascii="宋体" w:hAnsi="宋体" w:cs="仿宋"/>
          <w:b/>
          <w:sz w:val="24"/>
        </w:rPr>
      </w:pPr>
      <w:r>
        <w:rPr>
          <w:rFonts w:hint="eastAsia" w:ascii="宋体" w:hAnsi="宋体" w:cs="仿宋"/>
          <w:b/>
          <w:sz w:val="24"/>
        </w:rPr>
        <w:t>▲（一）项目预算：</w:t>
      </w:r>
      <w:r>
        <w:rPr>
          <w:rFonts w:hint="eastAsia" w:ascii="宋体" w:hAnsi="宋体" w:cs="仿宋"/>
          <w:b/>
          <w:sz w:val="24"/>
          <w:lang w:val="en-US" w:eastAsia="zh-CN"/>
        </w:rPr>
        <w:t>2.5</w:t>
      </w:r>
      <w:r>
        <w:rPr>
          <w:rFonts w:hint="eastAsia" w:ascii="宋体" w:hAnsi="宋体" w:cs="仿宋"/>
          <w:b/>
          <w:sz w:val="24"/>
        </w:rPr>
        <w:t>万元/年</w:t>
      </w:r>
    </w:p>
    <w:p>
      <w:pPr>
        <w:pStyle w:val="3"/>
        <w:ind w:left="283" w:leftChars="135" w:firstLine="0" w:firstLineChars="0"/>
        <w:rPr>
          <w:rFonts w:ascii="宋体" w:hAnsi="宋体" w:cs="仿宋"/>
          <w:b/>
          <w:bCs/>
          <w:sz w:val="24"/>
        </w:rPr>
      </w:pP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技术、服务要求：</w:t>
      </w:r>
    </w:p>
    <w:p>
      <w:pPr>
        <w:pStyle w:val="3"/>
        <w:ind w:left="283" w:leftChars="135" w:firstLine="0" w:firstLineChars="0"/>
        <w:rPr>
          <w:rFonts w:ascii="宋体" w:hAnsi="宋体" w:cs="仿宋"/>
          <w:sz w:val="24"/>
        </w:rPr>
      </w:pPr>
      <w:r>
        <w:rPr>
          <w:rFonts w:hint="eastAsia" w:ascii="宋体" w:hAnsi="宋体" w:cs="仿宋"/>
          <w:sz w:val="24"/>
        </w:rPr>
        <w:t>1、技术要求：</w:t>
      </w:r>
    </w:p>
    <w:p>
      <w:pPr>
        <w:pStyle w:val="3"/>
        <w:ind w:left="283" w:leftChars="135" w:firstLine="0" w:firstLineChars="0"/>
        <w:rPr>
          <w:rFonts w:hint="eastAsia" w:ascii="宋体" w:hAnsi="宋体"/>
          <w:sz w:val="24"/>
        </w:rPr>
      </w:pPr>
      <w:r>
        <w:rPr>
          <w:rFonts w:hint="eastAsia" w:ascii="宋体" w:hAnsi="宋体" w:cs="仿宋"/>
          <w:sz w:val="24"/>
        </w:rPr>
        <w:t>（1）</w:t>
      </w:r>
      <w:r>
        <w:rPr>
          <w:rFonts w:hint="eastAsia" w:ascii="宋体" w:hAnsi="宋体"/>
          <w:sz w:val="24"/>
        </w:rPr>
        <w:t>试剂总体要求：</w:t>
      </w:r>
    </w:p>
    <w:p>
      <w:pPr>
        <w:pStyle w:val="3"/>
        <w:ind w:left="283" w:leftChars="135" w:firstLine="0" w:firstLineChars="0"/>
        <w:rPr>
          <w:rFonts w:hint="eastAsia" w:ascii="宋体" w:hAnsi="宋体"/>
          <w:sz w:val="24"/>
        </w:rPr>
      </w:pPr>
      <w:r>
        <w:rPr>
          <w:rFonts w:hint="eastAsia" w:ascii="宋体" w:hAnsi="宋体" w:eastAsia="宋体" w:cs="仿宋"/>
          <w:bCs w:val="0"/>
          <w:sz w:val="24"/>
          <w:szCs w:val="24"/>
        </w:rPr>
        <w:t>▲</w:t>
      </w:r>
      <w:r>
        <w:rPr>
          <w:rFonts w:hint="eastAsia" w:ascii="宋体" w:hAnsi="宋体" w:cs="仿宋"/>
          <w:sz w:val="24"/>
          <w:lang w:val="en-US" w:eastAsia="zh-CN"/>
        </w:rPr>
        <w:t>1.1.1</w:t>
      </w:r>
      <w:r>
        <w:rPr>
          <w:rFonts w:hint="eastAsia" w:ascii="宋体" w:hAnsi="宋体" w:cs="仿宋"/>
          <w:sz w:val="24"/>
        </w:rPr>
        <w:t>提供适合医院自有设备欧蒙全自动蛋白印迹仪器(EUROBlotMaster II)使用的检测所需试剂反应板（槽）。</w:t>
      </w:r>
    </w:p>
    <w:p>
      <w:pPr>
        <w:pStyle w:val="3"/>
        <w:ind w:left="283" w:leftChars="135" w:firstLine="0" w:firstLineChars="0"/>
        <w:rPr>
          <w:rFonts w:hint="eastAsia" w:ascii="宋体" w:hAnsi="宋体" w:eastAsia="宋体" w:cs="仿宋"/>
          <w:sz w:val="24"/>
          <w:lang w:eastAsia="zh-CN"/>
        </w:rPr>
      </w:pPr>
      <w:r>
        <w:rPr>
          <w:rFonts w:hint="eastAsia" w:ascii="宋体" w:hAnsi="宋体" w:cs="仿宋"/>
          <w:sz w:val="24"/>
        </w:rPr>
        <w:t>1.</w:t>
      </w:r>
      <w:r>
        <w:rPr>
          <w:rFonts w:hint="eastAsia" w:ascii="宋体" w:hAnsi="宋体" w:cs="仿宋"/>
          <w:sz w:val="24"/>
          <w:lang w:val="en-US" w:eastAsia="zh-CN"/>
        </w:rPr>
        <w:t>1.2</w:t>
      </w:r>
      <w:r>
        <w:rPr>
          <w:rFonts w:hint="eastAsia" w:ascii="宋体" w:hAnsi="宋体" w:cs="仿宋"/>
          <w:sz w:val="24"/>
        </w:rPr>
        <w:t>检测方法为免疫印迹法</w:t>
      </w:r>
      <w:r>
        <w:rPr>
          <w:rFonts w:hint="eastAsia" w:ascii="宋体" w:hAnsi="宋体" w:cs="仿宋"/>
          <w:sz w:val="24"/>
          <w:lang w:val="en-US" w:eastAsia="zh-CN"/>
        </w:rPr>
        <w:t>。</w:t>
      </w:r>
    </w:p>
    <w:p>
      <w:pPr>
        <w:pStyle w:val="3"/>
        <w:ind w:left="283" w:leftChars="135" w:firstLine="0" w:firstLineChars="0"/>
        <w:rPr>
          <w:rFonts w:hint="eastAsia" w:ascii="宋体" w:hAnsi="宋体" w:eastAsia="宋体" w:cs="仿宋"/>
          <w:sz w:val="24"/>
          <w:lang w:eastAsia="zh-CN"/>
        </w:rPr>
      </w:pPr>
      <w:r>
        <w:rPr>
          <w:rFonts w:hint="eastAsia" w:ascii="宋体" w:hAnsi="宋体" w:cs="仿宋"/>
          <w:sz w:val="24"/>
          <w:lang w:val="en-US" w:eastAsia="zh-CN"/>
        </w:rPr>
        <w:t>1</w:t>
      </w:r>
      <w:r>
        <w:rPr>
          <w:rFonts w:hint="eastAsia" w:ascii="宋体" w:hAnsi="宋体" w:cs="仿宋"/>
          <w:sz w:val="24"/>
        </w:rPr>
        <w:t>.</w:t>
      </w:r>
      <w:r>
        <w:rPr>
          <w:rFonts w:hint="eastAsia" w:ascii="宋体" w:hAnsi="宋体" w:cs="仿宋"/>
          <w:sz w:val="24"/>
          <w:lang w:val="en-US" w:eastAsia="zh-CN"/>
        </w:rPr>
        <w:t>1.3</w:t>
      </w:r>
      <w:r>
        <w:rPr>
          <w:rFonts w:hint="eastAsia" w:ascii="宋体" w:hAnsi="宋体" w:cs="仿宋"/>
          <w:sz w:val="24"/>
        </w:rPr>
        <w:t>适用于用血清、血浆</w:t>
      </w:r>
      <w:r>
        <w:rPr>
          <w:rFonts w:hint="eastAsia" w:ascii="宋体" w:hAnsi="宋体" w:cs="仿宋"/>
          <w:sz w:val="24"/>
          <w:lang w:eastAsia="zh-CN"/>
        </w:rPr>
        <w:t>。</w:t>
      </w:r>
    </w:p>
    <w:p>
      <w:pPr>
        <w:pStyle w:val="3"/>
        <w:ind w:left="283" w:leftChars="135" w:firstLine="0" w:firstLineChars="0"/>
        <w:rPr>
          <w:rFonts w:hint="eastAsia" w:ascii="宋体" w:hAnsi="宋体" w:eastAsia="宋体" w:cs="仿宋"/>
          <w:sz w:val="24"/>
          <w:lang w:eastAsia="zh-CN"/>
        </w:rPr>
      </w:pPr>
      <w:r>
        <w:rPr>
          <w:rFonts w:hint="eastAsia" w:ascii="宋体" w:hAnsi="宋体" w:cs="仿宋"/>
          <w:sz w:val="24"/>
          <w:lang w:val="en-US" w:eastAsia="zh-CN"/>
        </w:rPr>
        <w:t>1.1.4</w:t>
      </w:r>
      <w:r>
        <w:rPr>
          <w:rFonts w:hint="eastAsia" w:ascii="宋体" w:hAnsi="宋体" w:cs="仿宋"/>
          <w:sz w:val="24"/>
        </w:rPr>
        <w:t>检测带必须同时含HIV-1和HIV-2型阳性质控带；HIV-1抗体为全病毒条带，包括：gp160、gp120、p66、p55、p51、gp41、p39、p31、p24、p17</w:t>
      </w:r>
      <w:r>
        <w:rPr>
          <w:rFonts w:hint="eastAsia" w:ascii="宋体" w:hAnsi="宋体" w:cs="仿宋"/>
          <w:sz w:val="24"/>
          <w:lang w:eastAsia="zh-CN"/>
        </w:rPr>
        <w:t>。</w:t>
      </w:r>
    </w:p>
    <w:p>
      <w:pPr>
        <w:pStyle w:val="3"/>
        <w:ind w:left="283" w:leftChars="135" w:firstLine="0" w:firstLineChars="0"/>
        <w:rPr>
          <w:rFonts w:hint="eastAsia" w:ascii="宋体" w:hAnsi="宋体" w:eastAsia="宋体" w:cs="仿宋"/>
          <w:sz w:val="24"/>
          <w:lang w:eastAsia="zh-CN"/>
        </w:rPr>
      </w:pPr>
      <w:r>
        <w:rPr>
          <w:rFonts w:hint="eastAsia" w:ascii="宋体" w:hAnsi="宋体" w:cs="仿宋"/>
          <w:sz w:val="24"/>
          <w:lang w:val="en-US" w:eastAsia="zh-CN"/>
        </w:rPr>
        <w:t>1.1.5</w:t>
      </w:r>
      <w:r>
        <w:rPr>
          <w:rFonts w:hint="eastAsia" w:ascii="宋体" w:hAnsi="宋体" w:cs="仿宋"/>
          <w:sz w:val="24"/>
        </w:rPr>
        <w:t>质控血清应分别含强阳性、弱阳性和阴性质控血清，其中强阳性质控血清必须同时含HIV-1和HIV-2质控物</w:t>
      </w:r>
      <w:r>
        <w:rPr>
          <w:rFonts w:hint="eastAsia" w:ascii="宋体" w:hAnsi="宋体" w:cs="仿宋"/>
          <w:sz w:val="24"/>
          <w:lang w:eastAsia="zh-CN"/>
        </w:rPr>
        <w:t>。</w:t>
      </w:r>
    </w:p>
    <w:p>
      <w:pPr>
        <w:pStyle w:val="3"/>
        <w:ind w:left="283" w:leftChars="135" w:firstLine="0" w:firstLineChars="0"/>
        <w:rPr>
          <w:rFonts w:hint="eastAsia" w:ascii="宋体" w:hAnsi="宋体" w:cs="仿宋"/>
          <w:sz w:val="24"/>
        </w:rPr>
      </w:pPr>
      <w:r>
        <w:rPr>
          <w:rFonts w:hint="eastAsia" w:ascii="宋体" w:hAnsi="宋体" w:cs="仿宋"/>
          <w:sz w:val="24"/>
          <w:lang w:val="en-US" w:eastAsia="zh-CN"/>
        </w:rPr>
        <w:t>1.1.6</w:t>
      </w:r>
      <w:r>
        <w:rPr>
          <w:rFonts w:hint="eastAsia" w:ascii="宋体" w:hAnsi="宋体" w:cs="仿宋"/>
          <w:sz w:val="24"/>
        </w:rPr>
        <w:t>试剂实验方法有快速法和过夜法二种，能有效处理弱阳性标本，提供试剂使用说明书证明</w:t>
      </w:r>
      <w:r>
        <w:rPr>
          <w:rFonts w:hint="eastAsia" w:ascii="宋体" w:hAnsi="宋体" w:cs="仿宋"/>
          <w:sz w:val="24"/>
          <w:lang w:eastAsia="zh-CN"/>
        </w:rPr>
        <w:t>。</w:t>
      </w:r>
      <w:r>
        <w:rPr>
          <w:rFonts w:hint="eastAsia" w:ascii="宋体" w:hAnsi="宋体" w:cs="仿宋"/>
          <w:sz w:val="24"/>
          <w:lang w:val="en-US" w:eastAsia="zh-CN"/>
        </w:rPr>
        <w:t>1.1.7</w:t>
      </w:r>
      <w:r>
        <w:rPr>
          <w:rFonts w:hint="eastAsia" w:ascii="宋体" w:hAnsi="宋体" w:cs="仿宋"/>
          <w:sz w:val="24"/>
        </w:rPr>
        <w:t>试剂有效期≥12个月。</w:t>
      </w:r>
    </w:p>
    <w:p>
      <w:pPr>
        <w:pStyle w:val="3"/>
        <w:ind w:left="283" w:leftChars="135" w:firstLine="0" w:firstLineChars="0"/>
        <w:rPr>
          <w:rFonts w:ascii="宋体" w:hAnsi="宋体" w:cs="仿宋"/>
          <w:b/>
          <w:bCs/>
          <w:sz w:val="24"/>
        </w:rPr>
      </w:pPr>
      <w:r>
        <w:rPr>
          <w:rFonts w:hint="eastAsia" w:ascii="宋体" w:hAnsi="宋体" w:cs="仿宋"/>
          <w:sz w:val="24"/>
        </w:rPr>
        <w:t>（2）技术服务要求：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3"/>
        <w:spacing w:line="400" w:lineRule="exact"/>
        <w:ind w:firstLine="480"/>
        <w:rPr>
          <w:rFonts w:ascii="宋体"/>
          <w:color w:val="000000"/>
          <w:sz w:val="24"/>
        </w:rPr>
      </w:pPr>
      <w:r>
        <w:rPr>
          <w:rFonts w:hint="eastAsia" w:ascii="宋体" w:hAnsi="宋体" w:cs="仿宋"/>
          <w:sz w:val="24"/>
        </w:rPr>
        <w:t>（三）</w:t>
      </w:r>
      <w:r>
        <w:rPr>
          <w:rFonts w:hint="eastAsia" w:ascii="宋体" w:hAnsi="宋体" w:cs="仿宋"/>
          <w:b/>
          <w:bCs/>
          <w:sz w:val="24"/>
        </w:rPr>
        <w:t>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firstLineChars="0"/>
        <w:rPr>
          <w:rFonts w:ascii="宋体"/>
          <w:color w:val="000000"/>
          <w:sz w:val="24"/>
        </w:rPr>
      </w:pP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ind w:left="283" w:leftChars="135" w:firstLine="0" w:firstLineChars="0"/>
        <w:rPr>
          <w:rFonts w:hint="eastAsia" w:ascii="宋体" w:hAnsi="宋体" w:cs="仿宋"/>
          <w:sz w:val="24"/>
        </w:rPr>
      </w:pPr>
    </w:p>
    <w:p>
      <w:pPr>
        <w:pStyle w:val="3"/>
        <w:ind w:left="283" w:leftChars="135" w:firstLine="0" w:firstLineChars="0"/>
        <w:rPr>
          <w:rFonts w:hint="eastAsia" w:ascii="宋体" w:hAnsi="宋体" w:cs="仿宋"/>
          <w:sz w:val="24"/>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8"/>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7"/>
        <w:gridCol w:w="668"/>
        <w:gridCol w:w="603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 w:type="pct"/>
            <w:vAlign w:val="center"/>
          </w:tcPr>
          <w:p>
            <w:pPr>
              <w:widowControl/>
              <w:spacing w:line="240" w:lineRule="atLeast"/>
              <w:jc w:val="center"/>
              <w:rPr>
                <w:rFonts w:ascii="宋体" w:hAnsi="宋体" w:cs="Segoe UI"/>
                <w:b/>
                <w:kern w:val="0"/>
              </w:rPr>
            </w:pPr>
            <w:r>
              <w:rPr>
                <w:rFonts w:hint="eastAsia" w:ascii="宋体" w:hAnsi="宋体" w:cs="Segoe UI"/>
                <w:b/>
                <w:kern w:val="0"/>
              </w:rPr>
              <w:t>序号</w:t>
            </w:r>
          </w:p>
        </w:tc>
        <w:tc>
          <w:tcPr>
            <w:tcW w:w="700" w:type="pct"/>
            <w:vAlign w:val="center"/>
          </w:tcPr>
          <w:p>
            <w:pPr>
              <w:widowControl/>
              <w:spacing w:line="240" w:lineRule="atLeast"/>
              <w:jc w:val="center"/>
              <w:rPr>
                <w:rFonts w:ascii="宋体" w:hAnsi="宋体" w:cs="Segoe UI"/>
                <w:b/>
                <w:kern w:val="0"/>
              </w:rPr>
            </w:pPr>
            <w:r>
              <w:rPr>
                <w:rFonts w:hint="eastAsia" w:ascii="宋体" w:hAnsi="宋体" w:cs="Segoe UI"/>
                <w:b/>
                <w:kern w:val="0"/>
              </w:rPr>
              <w:t>评分因素</w:t>
            </w:r>
          </w:p>
        </w:tc>
        <w:tc>
          <w:tcPr>
            <w:tcW w:w="337"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分值</w:t>
            </w:r>
          </w:p>
        </w:tc>
        <w:tc>
          <w:tcPr>
            <w:tcW w:w="3052"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评分标准</w:t>
            </w:r>
          </w:p>
        </w:tc>
        <w:tc>
          <w:tcPr>
            <w:tcW w:w="554"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1</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报价</w:t>
            </w:r>
          </w:p>
        </w:tc>
        <w:tc>
          <w:tcPr>
            <w:tcW w:w="337"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30分</w:t>
            </w:r>
          </w:p>
        </w:tc>
        <w:tc>
          <w:tcPr>
            <w:tcW w:w="3052" w:type="pct"/>
            <w:vAlign w:val="center"/>
          </w:tcPr>
          <w:p>
            <w:pPr>
              <w:widowControl/>
              <w:wordWrap w:val="0"/>
              <w:spacing w:line="270" w:lineRule="atLeast"/>
              <w:jc w:val="left"/>
              <w:rPr>
                <w:rFonts w:ascii="宋体" w:hAnsi="宋体" w:cs="Segoe UI"/>
                <w:b/>
                <w:kern w:val="0"/>
              </w:rPr>
            </w:pPr>
            <w:r>
              <w:rPr>
                <w:rFonts w:hint="eastAsia" w:ascii="宋体" w:hAnsi="宋体" w:cs="Segoe UI"/>
                <w:b/>
                <w:kern w:val="0"/>
              </w:rPr>
              <w:t>1.价格分：</w:t>
            </w:r>
          </w:p>
          <w:p>
            <w:pPr>
              <w:widowControl/>
              <w:wordWrap w:val="0"/>
              <w:spacing w:line="270" w:lineRule="atLeast"/>
              <w:jc w:val="left"/>
              <w:rPr>
                <w:rFonts w:ascii="宋体" w:hAnsi="宋体" w:cs="Segoe UI"/>
                <w:kern w:val="0"/>
              </w:rPr>
            </w:pPr>
            <w:r>
              <w:rPr>
                <w:rFonts w:hint="eastAsia" w:ascii="宋体" w:hAnsi="宋体" w:cs="Segoe UI"/>
                <w:kern w:val="0"/>
              </w:rPr>
              <w:t>投标材料满足采购文件要求且以报价</w:t>
            </w:r>
            <w:r>
              <w:rPr>
                <w:rFonts w:hint="eastAsia" w:ascii="宋体" w:hAnsi="宋体" w:cs="Segoe UI"/>
                <w:b/>
                <w:kern w:val="0"/>
              </w:rPr>
              <w:t>总价</w:t>
            </w:r>
            <w:r>
              <w:rPr>
                <w:rFonts w:hint="eastAsia" w:ascii="宋体" w:hAnsi="宋体" w:cs="Segoe UI"/>
                <w:kern w:val="0"/>
              </w:rPr>
              <w:t>最低的为</w:t>
            </w:r>
            <w:r>
              <w:rPr>
                <w:rFonts w:hint="eastAsia" w:ascii="宋体" w:hAnsi="宋体" w:cs="Segoe UI"/>
                <w:b/>
                <w:kern w:val="0"/>
              </w:rPr>
              <w:t>评标基准价</w:t>
            </w:r>
            <w:r>
              <w:rPr>
                <w:rFonts w:hint="eastAsia" w:ascii="宋体" w:hAnsi="宋体" w:cs="Segoe UI"/>
                <w:kern w:val="0"/>
              </w:rPr>
              <w:t>，其价格分为30分。其他供应商的价格分统一按照以下公式计算：价格分=(</w:t>
            </w:r>
            <w:r>
              <w:rPr>
                <w:rFonts w:hint="eastAsia" w:ascii="宋体" w:hAnsi="宋体" w:cs="Segoe UI"/>
                <w:b/>
                <w:kern w:val="0"/>
              </w:rPr>
              <w:t>评标基准价</w:t>
            </w:r>
            <w:r>
              <w:rPr>
                <w:rFonts w:hint="eastAsia" w:ascii="宋体" w:hAnsi="宋体" w:cs="Segoe UI"/>
                <w:kern w:val="0"/>
              </w:rPr>
              <w:t>／报价总价)×30</w:t>
            </w:r>
          </w:p>
          <w:p>
            <w:pPr>
              <w:widowControl/>
              <w:wordWrap w:val="0"/>
              <w:spacing w:line="270" w:lineRule="atLeast"/>
              <w:jc w:val="left"/>
              <w:rPr>
                <w:rFonts w:ascii="宋体" w:hAnsi="宋体" w:cs="Segoe UI"/>
                <w:b/>
                <w:kern w:val="0"/>
              </w:rPr>
            </w:pPr>
            <w:r>
              <w:rPr>
                <w:rFonts w:hint="eastAsia" w:ascii="宋体" w:hAnsi="宋体" w:cs="Segoe UI"/>
                <w:b/>
                <w:kern w:val="0"/>
              </w:rPr>
              <w:t>2.报价总价</w:t>
            </w:r>
          </w:p>
          <w:p>
            <w:pPr>
              <w:widowControl/>
              <w:wordWrap w:val="0"/>
              <w:spacing w:line="270" w:lineRule="atLeast"/>
              <w:jc w:val="left"/>
              <w:rPr>
                <w:rFonts w:ascii="宋体" w:hAnsi="宋体" w:cs="Segoe UI"/>
                <w:kern w:val="0"/>
              </w:rPr>
            </w:pPr>
            <w:r>
              <w:rPr>
                <w:rFonts w:hint="eastAsia" w:ascii="宋体" w:hAnsi="宋体" w:cs="Segoe UI"/>
                <w:kern w:val="0"/>
              </w:rPr>
              <w:t>报价总价=各检测项目单人份检测（含辅助试剂和耗材）报价*预估年度检测人份</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2</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技术指标</w:t>
            </w:r>
          </w:p>
        </w:tc>
        <w:tc>
          <w:tcPr>
            <w:tcW w:w="337" w:type="pct"/>
            <w:vAlign w:val="center"/>
          </w:tcPr>
          <w:p>
            <w:pPr>
              <w:widowControl/>
              <w:wordWrap w:val="0"/>
              <w:spacing w:line="270" w:lineRule="atLeast"/>
              <w:jc w:val="center"/>
              <w:rPr>
                <w:rFonts w:ascii="宋体" w:hAnsi="宋体" w:cs="Segoe UI"/>
                <w:kern w:val="0"/>
              </w:rPr>
            </w:pPr>
            <w:r>
              <w:rPr>
                <w:rFonts w:hint="eastAsia" w:ascii="宋体" w:hAnsi="宋体" w:cs="Segoe UI"/>
                <w:kern w:val="0"/>
                <w:lang w:val="en-US" w:eastAsia="zh-CN"/>
              </w:rPr>
              <w:t>42</w:t>
            </w:r>
            <w:r>
              <w:rPr>
                <w:rFonts w:hint="eastAsia" w:ascii="宋体" w:hAnsi="宋体" w:cs="Segoe UI"/>
                <w:kern w:val="0"/>
              </w:rPr>
              <w:t>分</w:t>
            </w:r>
          </w:p>
        </w:tc>
        <w:tc>
          <w:tcPr>
            <w:tcW w:w="3052"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1.完全符合招标文件中（二）技术、服务要求（除（3）技术服务要求外）的要求没有负偏离得</w:t>
            </w:r>
            <w:r>
              <w:rPr>
                <w:rFonts w:hint="eastAsia" w:ascii="宋体" w:hAnsi="宋体" w:cs="Segoe UI"/>
                <w:kern w:val="0"/>
                <w:lang w:val="en-US" w:eastAsia="zh-CN"/>
              </w:rPr>
              <w:t>42</w:t>
            </w:r>
            <w:r>
              <w:rPr>
                <w:rFonts w:hint="eastAsia" w:ascii="宋体" w:hAnsi="宋体" w:cs="Segoe UI"/>
                <w:kern w:val="0"/>
              </w:rPr>
              <w:t>分。</w:t>
            </w:r>
          </w:p>
          <w:p>
            <w:pPr>
              <w:widowControl/>
              <w:wordWrap w:val="0"/>
              <w:spacing w:line="270" w:lineRule="atLeast"/>
              <w:jc w:val="left"/>
              <w:rPr>
                <w:rFonts w:ascii="宋体" w:hAnsi="宋体" w:cs="Segoe UI"/>
                <w:kern w:val="0"/>
              </w:rPr>
            </w:pPr>
            <w:r>
              <w:rPr>
                <w:rFonts w:hint="eastAsia" w:ascii="宋体" w:hAnsi="宋体" w:cs="Segoe UI"/>
                <w:kern w:val="0"/>
              </w:rPr>
              <w:t>2.未标识“</w:t>
            </w:r>
            <w:r>
              <w:rPr>
                <w:rFonts w:hint="eastAsia" w:ascii="宋体"/>
                <w:sz w:val="24"/>
              </w:rPr>
              <w:t>★</w:t>
            </w:r>
            <w:r>
              <w:rPr>
                <w:rFonts w:hint="eastAsia" w:ascii="宋体" w:hAnsi="宋体" w:cs="Segoe UI"/>
                <w:kern w:val="0"/>
              </w:rPr>
              <w:t>”符号的参数为一般参数（共</w:t>
            </w:r>
            <w:r>
              <w:rPr>
                <w:rFonts w:hint="eastAsia" w:ascii="宋体" w:hAnsi="宋体" w:cs="Segoe UI"/>
                <w:kern w:val="0"/>
                <w:lang w:val="en-US" w:eastAsia="zh-CN"/>
              </w:rPr>
              <w:t>7</w:t>
            </w:r>
            <w:r>
              <w:rPr>
                <w:rFonts w:hint="eastAsia" w:ascii="宋体" w:hAnsi="宋体" w:cs="Segoe UI"/>
                <w:kern w:val="0"/>
              </w:rPr>
              <w:t>条），不满足一般参数条款每一项扣</w:t>
            </w:r>
            <w:r>
              <w:rPr>
                <w:rFonts w:hint="eastAsia" w:ascii="宋体" w:hAnsi="宋体" w:cs="Segoe UI"/>
                <w:kern w:val="0"/>
                <w:lang w:val="en-US" w:eastAsia="zh-CN"/>
              </w:rPr>
              <w:t>6</w:t>
            </w:r>
            <w:r>
              <w:rPr>
                <w:rFonts w:hint="eastAsia" w:ascii="宋体" w:hAnsi="宋体" w:cs="Segoe UI"/>
                <w:kern w:val="0"/>
              </w:rPr>
              <w:t>分，扣完为止。</w:t>
            </w:r>
          </w:p>
          <w:p>
            <w:pPr>
              <w:widowControl/>
              <w:wordWrap w:val="0"/>
              <w:spacing w:line="270" w:lineRule="atLeast"/>
              <w:jc w:val="left"/>
              <w:rPr>
                <w:rFonts w:ascii="宋体" w:hAnsi="宋体" w:cs="Segoe UI"/>
                <w:kern w:val="0"/>
              </w:rPr>
            </w:pPr>
            <w:r>
              <w:rPr>
                <w:rFonts w:hint="eastAsia" w:ascii="宋体" w:hAnsi="宋体" w:cs="Segoe UI"/>
                <w:kern w:val="0"/>
              </w:rPr>
              <w:t>注：“</w:t>
            </w:r>
            <w:r>
              <w:rPr>
                <w:rFonts w:hint="eastAsia" w:ascii="宋体"/>
                <w:sz w:val="24"/>
              </w:rPr>
              <w:t>★</w:t>
            </w:r>
            <w:r>
              <w:rPr>
                <w:rFonts w:hint="eastAsia" w:ascii="宋体" w:hAnsi="宋体" w:cs="Segoe UI"/>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3</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供应商能力</w:t>
            </w:r>
          </w:p>
        </w:tc>
        <w:tc>
          <w:tcPr>
            <w:tcW w:w="337" w:type="pct"/>
            <w:vAlign w:val="center"/>
          </w:tcPr>
          <w:p>
            <w:pPr>
              <w:wordWrap w:val="0"/>
              <w:spacing w:line="270" w:lineRule="atLeast"/>
              <w:jc w:val="center"/>
              <w:rPr>
                <w:rFonts w:ascii="宋体" w:hAnsi="宋体" w:cs="Segoe UI"/>
                <w:kern w:val="0"/>
              </w:rPr>
            </w:pPr>
            <w:r>
              <w:rPr>
                <w:rFonts w:hint="eastAsia" w:ascii="宋体" w:hAnsi="宋体" w:cs="Segoe UI"/>
                <w:kern w:val="0"/>
              </w:rPr>
              <w:t>1</w:t>
            </w:r>
            <w:r>
              <w:rPr>
                <w:rFonts w:hint="eastAsia" w:ascii="宋体" w:hAnsi="宋体" w:cs="Segoe UI"/>
                <w:kern w:val="0"/>
                <w:lang w:val="en-US" w:eastAsia="zh-CN"/>
              </w:rPr>
              <w:t>6</w:t>
            </w:r>
            <w:r>
              <w:rPr>
                <w:rFonts w:hint="eastAsia" w:ascii="宋体" w:hAnsi="宋体" w:cs="Segoe UI"/>
                <w:kern w:val="0"/>
              </w:rPr>
              <w:t>分</w:t>
            </w:r>
          </w:p>
        </w:tc>
        <w:tc>
          <w:tcPr>
            <w:tcW w:w="3052" w:type="pct"/>
            <w:vAlign w:val="center"/>
          </w:tcPr>
          <w:p>
            <w:pPr>
              <w:wordWrap w:val="0"/>
              <w:spacing w:line="270" w:lineRule="atLeast"/>
              <w:ind w:firstLine="420" w:firstLineChars="200"/>
              <w:jc w:val="left"/>
            </w:pPr>
            <w:r>
              <w:rPr>
                <w:rFonts w:hint="eastAsia"/>
              </w:rPr>
              <w:t>提供</w:t>
            </w:r>
            <w:r>
              <w:rPr>
                <w:rFonts w:hint="eastAsia"/>
                <w:lang w:val="en-US" w:eastAsia="zh-CN"/>
              </w:rPr>
              <w:t>投标</w:t>
            </w:r>
            <w:r>
              <w:rPr>
                <w:rFonts w:hint="eastAsia"/>
              </w:rPr>
              <w:t>产品2019年以来省内三甲医疗机构</w:t>
            </w:r>
            <w:r>
              <w:rPr>
                <w:rFonts w:hint="eastAsia"/>
                <w:lang w:val="en-US" w:eastAsia="zh-CN"/>
              </w:rPr>
              <w:t>或各级疾控机构</w:t>
            </w:r>
            <w:r>
              <w:rPr>
                <w:rFonts w:hint="eastAsia"/>
              </w:rPr>
              <w:t>业绩证明，每提供1家三甲医院业绩证明得1分，最多得1</w:t>
            </w:r>
            <w:r>
              <w:rPr>
                <w:rFonts w:hint="eastAsia"/>
                <w:lang w:val="en-US" w:eastAsia="zh-CN"/>
              </w:rPr>
              <w:t>6</w:t>
            </w:r>
            <w:r>
              <w:rPr>
                <w:rFonts w:hint="eastAsia"/>
              </w:rPr>
              <w:t>分。</w:t>
            </w:r>
          </w:p>
          <w:p>
            <w:pPr>
              <w:widowControl/>
              <w:wordWrap w:val="0"/>
              <w:spacing w:line="270" w:lineRule="atLeast"/>
              <w:jc w:val="left"/>
              <w:rPr>
                <w:rFonts w:ascii="宋体" w:hAnsi="宋体" w:cs="Segoe UI"/>
                <w:kern w:val="0"/>
              </w:rPr>
            </w:pPr>
            <w:r>
              <w:rPr>
                <w:rFonts w:hint="eastAsia" w:ascii="宋体" w:hAnsi="宋体" w:cs="Segoe UI"/>
                <w:kern w:val="0"/>
              </w:rPr>
              <w:t>注：以下三项材料均可作为依据：</w:t>
            </w:r>
          </w:p>
          <w:p>
            <w:pPr>
              <w:widowControl/>
              <w:wordWrap w:val="0"/>
              <w:spacing w:line="270" w:lineRule="atLeast"/>
              <w:jc w:val="left"/>
              <w:rPr>
                <w:rFonts w:ascii="宋体" w:hAnsi="宋体" w:cs="Segoe UI"/>
                <w:kern w:val="0"/>
              </w:rPr>
            </w:pPr>
            <w:r>
              <w:rPr>
                <w:rFonts w:hint="eastAsia" w:ascii="宋体" w:hAnsi="宋体" w:cs="Segoe UI"/>
                <w:kern w:val="0"/>
              </w:rPr>
              <w:t>1.合同复印件；</w:t>
            </w:r>
          </w:p>
          <w:p>
            <w:pPr>
              <w:widowControl/>
              <w:wordWrap w:val="0"/>
              <w:spacing w:line="270" w:lineRule="atLeast"/>
              <w:jc w:val="left"/>
              <w:rPr>
                <w:rFonts w:ascii="宋体" w:hAnsi="宋体" w:cs="Segoe UI"/>
                <w:kern w:val="0"/>
              </w:rPr>
            </w:pPr>
            <w:r>
              <w:rPr>
                <w:rFonts w:hint="eastAsia" w:ascii="宋体" w:hAnsi="宋体" w:cs="Segoe UI"/>
                <w:kern w:val="0"/>
              </w:rPr>
              <w:t>2.中标（成交/中选）通知书；</w:t>
            </w:r>
          </w:p>
          <w:p>
            <w:pPr>
              <w:pStyle w:val="4"/>
            </w:pPr>
            <w:r>
              <w:rPr>
                <w:rFonts w:hint="eastAsia" w:ascii="宋体" w:hAnsi="宋体" w:cs="Segoe UI"/>
                <w:kern w:val="0"/>
              </w:rPr>
              <w:t>3.发票复印件（若发票复印件上无产品明细则需附销货清单）</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4</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售后服务</w:t>
            </w:r>
          </w:p>
        </w:tc>
        <w:tc>
          <w:tcPr>
            <w:tcW w:w="337" w:type="pct"/>
            <w:vAlign w:val="center"/>
          </w:tcPr>
          <w:p>
            <w:pPr>
              <w:spacing w:line="320" w:lineRule="atLeast"/>
              <w:ind w:left="-105" w:right="-107"/>
              <w:jc w:val="center"/>
              <w:rPr>
                <w:rFonts w:ascii="宋体" w:hAnsi="宋体" w:cs="Segoe UI"/>
                <w:kern w:val="0"/>
              </w:rPr>
            </w:pPr>
            <w:r>
              <w:rPr>
                <w:rFonts w:hint="eastAsia" w:ascii="宋体" w:hAnsi="宋体" w:cs="Segoe UI"/>
                <w:kern w:val="0"/>
                <w:lang w:val="en-US" w:eastAsia="zh-CN"/>
              </w:rPr>
              <w:t>12</w:t>
            </w:r>
            <w:r>
              <w:rPr>
                <w:rFonts w:hint="eastAsia" w:ascii="宋体" w:hAnsi="宋体" w:cs="Segoe UI"/>
                <w:kern w:val="0"/>
              </w:rPr>
              <w:t>分</w:t>
            </w:r>
          </w:p>
        </w:tc>
        <w:tc>
          <w:tcPr>
            <w:tcW w:w="3052" w:type="pct"/>
            <w:vAlign w:val="center"/>
          </w:tcPr>
          <w:p>
            <w:pPr>
              <w:widowControl/>
              <w:wordWrap w:val="0"/>
              <w:jc w:val="left"/>
              <w:rPr>
                <w:rFonts w:ascii="宋体" w:hAnsi="宋体" w:cs="Segoe UI"/>
                <w:kern w:val="0"/>
              </w:rPr>
            </w:pPr>
            <w:r>
              <w:rPr>
                <w:rFonts w:hint="eastAsia" w:ascii="宋体" w:hAnsi="宋体" w:cs="Segoe UI"/>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w:t>
            </w:r>
            <w:r>
              <w:rPr>
                <w:rFonts w:hint="eastAsia" w:ascii="宋体" w:hAnsi="宋体" w:cs="Segoe UI"/>
                <w:kern w:val="0"/>
                <w:lang w:val="en-US" w:eastAsia="zh-CN"/>
              </w:rPr>
              <w:t>12</w:t>
            </w:r>
            <w:r>
              <w:rPr>
                <w:rFonts w:hint="eastAsia" w:ascii="宋体" w:hAnsi="宋体" w:cs="Segoe UI"/>
                <w:kern w:val="0"/>
              </w:rPr>
              <w:t>分；每缺少一项或提供的方案与本项目无关的扣</w:t>
            </w:r>
            <w:r>
              <w:rPr>
                <w:rFonts w:hint="eastAsia" w:ascii="宋体" w:hAnsi="宋体" w:cs="Segoe UI"/>
                <w:kern w:val="0"/>
                <w:lang w:val="en-US" w:eastAsia="zh-CN"/>
              </w:rPr>
              <w:t>3</w:t>
            </w:r>
            <w:r>
              <w:rPr>
                <w:rFonts w:hint="eastAsia" w:ascii="宋体" w:hAnsi="宋体" w:cs="Segoe UI"/>
                <w:kern w:val="0"/>
              </w:rPr>
              <w:t>分；每有一项存在缺陷或漏洞的，且不利于项目实施的扣</w:t>
            </w:r>
            <w:r>
              <w:rPr>
                <w:rFonts w:hint="eastAsia" w:ascii="宋体" w:hAnsi="宋体" w:cs="Segoe UI"/>
                <w:kern w:val="0"/>
                <w:lang w:val="en-US" w:eastAsia="zh-CN"/>
              </w:rPr>
              <w:t>2</w:t>
            </w:r>
            <w:r>
              <w:rPr>
                <w:rFonts w:hint="eastAsia" w:ascii="宋体" w:hAnsi="宋体" w:cs="Segoe UI"/>
                <w:kern w:val="0"/>
              </w:rPr>
              <w:t>分，分值扣完为止。</w:t>
            </w:r>
          </w:p>
        </w:tc>
        <w:tc>
          <w:tcPr>
            <w:tcW w:w="554" w:type="pct"/>
            <w:vAlign w:val="center"/>
          </w:tcPr>
          <w:p>
            <w:pPr>
              <w:widowControl/>
              <w:wordWrap w:val="0"/>
              <w:jc w:val="left"/>
              <w:rPr>
                <w:rFonts w:ascii="宋体" w:hAnsi="宋体" w:cs="Segoe UI"/>
                <w:kern w:val="0"/>
              </w:rPr>
            </w:pPr>
            <w:r>
              <w:rPr>
                <w:rFonts w:hint="eastAsia" w:ascii="宋体" w:hAnsi="宋体" w:cs="Segoe UI"/>
                <w:kern w:val="0"/>
              </w:rPr>
              <w:t>共同评分因素</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8"/>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1" w:name="_Toc95295163"/>
      <w:bookmarkEnd w:id="1"/>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8"/>
        <w:tblW w:w="13720"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971"/>
        <w:gridCol w:w="1625"/>
        <w:gridCol w:w="734"/>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预估年度测试数</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w:t>
            </w:r>
          </w:p>
        </w:tc>
        <w:tc>
          <w:tcPr>
            <w:tcW w:w="162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四川省药械集中采购及医药价格监管平台耗材商品代码（挂网流水号）</w:t>
            </w:r>
          </w:p>
        </w:tc>
        <w:tc>
          <w:tcPr>
            <w:tcW w:w="734"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625"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34"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625"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34"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宋体" w:hAnsi="宋体" w:eastAsia="宋体" w:cs="Segoe UI"/>
          <w:color w:val="000000" w:themeColor="text1"/>
          <w:kern w:val="0"/>
          <w:sz w:val="24"/>
          <w:szCs w:val="24"/>
        </w:rPr>
      </w:pPr>
      <w:r>
        <w:rPr>
          <w:rFonts w:hint="eastAsia" w:ascii="仿宋_GB2312" w:hAnsi="Segoe UI" w:eastAsia="仿宋_GB2312" w:cs="Segoe UI"/>
          <w:color w:val="000000" w:themeColor="text1"/>
          <w:kern w:val="0"/>
          <w:sz w:val="24"/>
          <w:szCs w:val="24"/>
        </w:rPr>
        <w:t>六、采购物资名称：</w:t>
      </w: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ascii="黑体" w:hAnsi="黑体" w:eastAsia="黑体" w:cs="Segoe UI"/>
          <w:b/>
          <w:bCs/>
          <w:color w:val="333333"/>
          <w:kern w:val="0"/>
          <w:sz w:val="28"/>
          <w:szCs w:val="28"/>
        </w:rPr>
      </w:pPr>
      <w:r>
        <w:rPr>
          <w:rFonts w:hint="eastAsia" w:ascii="仿宋_GB2312" w:hAnsi="Segoe UI" w:eastAsia="仿宋_GB2312" w:cs="Segoe UI"/>
          <w:color w:val="000000" w:themeColor="text1"/>
          <w:kern w:val="0"/>
          <w:sz w:val="24"/>
          <w:szCs w:val="24"/>
        </w:rPr>
        <w:t>承诺企业名称（公章）法人代表或委托代理人（承诺人）</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BDE50"/>
    <w:multiLevelType w:val="singleLevel"/>
    <w:tmpl w:val="F3ABDE50"/>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49F0"/>
    <w:rsid w:val="000D51C8"/>
    <w:rsid w:val="000D5C22"/>
    <w:rsid w:val="000F15ED"/>
    <w:rsid w:val="000F2C83"/>
    <w:rsid w:val="000F6C4B"/>
    <w:rsid w:val="00121958"/>
    <w:rsid w:val="0015585F"/>
    <w:rsid w:val="00155BC2"/>
    <w:rsid w:val="00161674"/>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3D7"/>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851F9"/>
    <w:rsid w:val="006A56E6"/>
    <w:rsid w:val="006A7032"/>
    <w:rsid w:val="006D2087"/>
    <w:rsid w:val="006D28BF"/>
    <w:rsid w:val="006E17CC"/>
    <w:rsid w:val="006E6BF8"/>
    <w:rsid w:val="006F1D17"/>
    <w:rsid w:val="006F4692"/>
    <w:rsid w:val="007253BB"/>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02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BF77A1"/>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C46DF"/>
    <w:rsid w:val="00DD1D05"/>
    <w:rsid w:val="00DE770F"/>
    <w:rsid w:val="00DF55ED"/>
    <w:rsid w:val="00E023C8"/>
    <w:rsid w:val="00E07DF4"/>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2DAA"/>
    <w:rsid w:val="00FB7812"/>
    <w:rsid w:val="00FB78A5"/>
    <w:rsid w:val="00FE5E1A"/>
    <w:rsid w:val="00FE68DB"/>
    <w:rsid w:val="04D14AC5"/>
    <w:rsid w:val="04FF1778"/>
    <w:rsid w:val="0939427D"/>
    <w:rsid w:val="0EF6796D"/>
    <w:rsid w:val="1A3D0D9C"/>
    <w:rsid w:val="235632C3"/>
    <w:rsid w:val="264D7A9F"/>
    <w:rsid w:val="274939A4"/>
    <w:rsid w:val="27994EB5"/>
    <w:rsid w:val="28C75A0F"/>
    <w:rsid w:val="299B6AE2"/>
    <w:rsid w:val="34BD0A25"/>
    <w:rsid w:val="440A651B"/>
    <w:rsid w:val="47CB3CB6"/>
    <w:rsid w:val="4C2F3C73"/>
    <w:rsid w:val="598F0681"/>
    <w:rsid w:val="5E0B7A06"/>
    <w:rsid w:val="5EE457B5"/>
    <w:rsid w:val="62D75D01"/>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link w:val="18"/>
    <w:semiHidden/>
    <w:unhideWhenUsed/>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 w:type="character" w:customStyle="1" w:styleId="16">
    <w:name w:val="标题 2 Char"/>
    <w:basedOn w:val="10"/>
    <w:link w:val="2"/>
    <w:qFormat/>
    <w:uiPriority w:val="0"/>
    <w:rPr>
      <w:rFonts w:ascii="Arial" w:hAnsi="Arial" w:eastAsia="黑体" w:cs="Times New Roman"/>
      <w:b/>
      <w:bCs/>
      <w:sz w:val="32"/>
      <w:szCs w:val="32"/>
    </w:rPr>
  </w:style>
  <w:style w:type="character" w:customStyle="1" w:styleId="17">
    <w:name w:val="正文缩进 Char"/>
    <w:link w:val="3"/>
    <w:qFormat/>
    <w:uiPriority w:val="0"/>
    <w:rPr>
      <w:rFonts w:ascii="Times New Roman" w:hAnsi="Times New Roman" w:eastAsia="宋体" w:cs="Times New Roman"/>
      <w:kern w:val="2"/>
      <w:sz w:val="21"/>
      <w:szCs w:val="24"/>
    </w:rPr>
  </w:style>
  <w:style w:type="character" w:customStyle="1" w:styleId="18">
    <w:name w:val="正文文本 Char"/>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1438</Words>
  <Characters>8203</Characters>
  <Lines>68</Lines>
  <Paragraphs>19</Paragraphs>
  <TotalTime>4</TotalTime>
  <ScaleCrop>false</ScaleCrop>
  <LinksUpToDate>false</LinksUpToDate>
  <CharactersWithSpaces>9622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2022-05-17T00:52:34Z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