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ilvl w:val="0"/>
          <w:numId w:val="0"/>
        </w:numPr>
        <w:shd w:val="clear" w:color="auto" w:fill="FFFFFF"/>
        <w:spacing w:line="600" w:lineRule="exact"/>
        <w:jc w:val="left"/>
        <w:rPr>
          <w:rFonts w:hint="eastAsia" w:ascii="仿宋" w:hAnsi="仿宋" w:eastAsia="仿宋" w:cs="Segoe UI"/>
          <w:color w:val="auto"/>
          <w:spacing w:val="8"/>
          <w:kern w:val="0"/>
          <w:sz w:val="32"/>
          <w:szCs w:val="32"/>
          <w:lang w:eastAsia="zh-CN"/>
        </w:rPr>
      </w:pPr>
      <w:r>
        <w:rPr>
          <w:rFonts w:hint="eastAsia" w:ascii="仿宋" w:hAnsi="仿宋" w:eastAsia="仿宋" w:cs="Segoe UI"/>
          <w:color w:val="auto"/>
          <w:spacing w:val="8"/>
          <w:kern w:val="0"/>
          <w:sz w:val="32"/>
          <w:szCs w:val="32"/>
          <w:lang w:val="en-US" w:eastAsia="zh-CN"/>
        </w:rPr>
        <w:t>1.</w:t>
      </w:r>
      <w:r>
        <w:rPr>
          <w:rFonts w:hint="eastAsia" w:ascii="仿宋" w:hAnsi="仿宋" w:eastAsia="仿宋" w:cs="Segoe UI"/>
          <w:color w:val="auto"/>
          <w:spacing w:val="8"/>
          <w:kern w:val="0"/>
          <w:sz w:val="32"/>
          <w:szCs w:val="32"/>
        </w:rPr>
        <w:t>产品名称：</w:t>
      </w:r>
      <w:r>
        <w:rPr>
          <w:rFonts w:hint="eastAsia" w:ascii="仿宋" w:hAnsi="仿宋" w:eastAsia="仿宋" w:cs="Segoe UI"/>
          <w:color w:val="auto"/>
          <w:spacing w:val="8"/>
          <w:kern w:val="0"/>
          <w:sz w:val="32"/>
          <w:szCs w:val="32"/>
          <w:lang w:eastAsia="zh-CN"/>
        </w:rPr>
        <w:t>Y染色体微缺失基因检测试剂盒（PCR-毛细管电泳法）</w:t>
      </w:r>
    </w:p>
    <w:p>
      <w:pPr>
        <w:widowControl/>
        <w:numPr>
          <w:ilvl w:val="0"/>
          <w:numId w:val="0"/>
        </w:numPr>
        <w:shd w:val="clear" w:color="auto" w:fill="FFFFFF"/>
        <w:spacing w:line="600" w:lineRule="exact"/>
        <w:jc w:val="left"/>
        <w:rPr>
          <w:rFonts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2.数量：详见产品年度预计用量</w:t>
      </w:r>
    </w:p>
    <w:p>
      <w:pPr>
        <w:widowControl/>
        <w:shd w:val="clear" w:color="auto" w:fill="FFFFFF"/>
        <w:wordWrap w:val="0"/>
        <w:spacing w:line="500" w:lineRule="exact"/>
        <w:jc w:val="left"/>
        <w:rPr>
          <w:rFonts w:hint="eastAsia" w:ascii="仿宋" w:hAnsi="仿宋" w:eastAsia="仿宋" w:cs="Segoe UI"/>
          <w:color w:val="auto"/>
          <w:spacing w:val="8"/>
          <w:kern w:val="0"/>
          <w:sz w:val="32"/>
          <w:szCs w:val="32"/>
          <w:lang w:val="en-US" w:eastAsia="zh-CN"/>
        </w:rPr>
      </w:pPr>
      <w:r>
        <w:rPr>
          <w:rFonts w:hint="eastAsia" w:ascii="仿宋" w:hAnsi="仿宋" w:eastAsia="仿宋" w:cs="Segoe UI"/>
          <w:color w:val="auto"/>
          <w:spacing w:val="8"/>
          <w:kern w:val="0"/>
          <w:sz w:val="32"/>
          <w:szCs w:val="32"/>
          <w:lang w:val="en-US" w:eastAsia="zh-CN"/>
        </w:rPr>
        <w:t>3.采购预算金额：3万元/每年</w:t>
      </w:r>
    </w:p>
    <w:p>
      <w:pPr>
        <w:widowControl/>
        <w:numPr>
          <w:ilvl w:val="0"/>
          <w:numId w:val="0"/>
        </w:numPr>
        <w:shd w:val="clear" w:color="auto" w:fill="FFFFFF"/>
        <w:spacing w:line="600" w:lineRule="exact"/>
        <w:ind w:leftChars="0"/>
        <w:jc w:val="left"/>
        <w:rPr>
          <w:rFonts w:hint="eastAsia"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lang w:val="en-US" w:eastAsia="zh-CN"/>
        </w:rPr>
        <w:t>4</w:t>
      </w:r>
      <w:r>
        <w:rPr>
          <w:rFonts w:hint="eastAsia" w:ascii="仿宋" w:hAnsi="仿宋" w:eastAsia="仿宋" w:cs="Segoe UI"/>
          <w:color w:val="auto"/>
          <w:spacing w:val="8"/>
          <w:kern w:val="0"/>
          <w:sz w:val="32"/>
          <w:szCs w:val="32"/>
        </w:rPr>
        <w:t>.技术参数要求</w:t>
      </w:r>
      <w:r>
        <w:rPr>
          <w:rFonts w:hint="eastAsia" w:ascii="仿宋" w:hAnsi="仿宋" w:eastAsia="仿宋" w:cs="Segoe UI"/>
          <w:color w:val="333333"/>
          <w:spacing w:val="8"/>
          <w:kern w:val="0"/>
          <w:sz w:val="32"/>
          <w:szCs w:val="32"/>
        </w:rPr>
        <w:t>：</w:t>
      </w:r>
    </w:p>
    <w:tbl>
      <w:tblPr>
        <w:tblStyle w:val="6"/>
        <w:tblW w:w="9640" w:type="dxa"/>
        <w:tblInd w:w="-846" w:type="dxa"/>
        <w:tblLayout w:type="autofit"/>
        <w:tblCellMar>
          <w:top w:w="0" w:type="dxa"/>
          <w:left w:w="0" w:type="dxa"/>
          <w:bottom w:w="0" w:type="dxa"/>
          <w:right w:w="0" w:type="dxa"/>
        </w:tblCellMar>
      </w:tblPr>
      <w:tblGrid>
        <w:gridCol w:w="709"/>
        <w:gridCol w:w="1832"/>
        <w:gridCol w:w="1100"/>
        <w:gridCol w:w="5999"/>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color w:val="auto"/>
                <w:sz w:val="24"/>
                <w:szCs w:val="24"/>
              </w:rPr>
            </w:pPr>
            <w:r>
              <w:rPr>
                <w:rFonts w:hint="eastAsia" w:ascii="仿宋" w:hAnsi="仿宋" w:eastAsia="仿宋"/>
                <w:b/>
                <w:color w:val="auto"/>
                <w:sz w:val="24"/>
                <w:szCs w:val="24"/>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color w:val="auto"/>
                <w:sz w:val="24"/>
                <w:szCs w:val="24"/>
              </w:rPr>
            </w:pPr>
            <w:r>
              <w:rPr>
                <w:rFonts w:ascii="仿宋" w:hAnsi="仿宋" w:eastAsia="仿宋"/>
                <w:b/>
                <w:color w:val="auto"/>
                <w:sz w:val="24"/>
                <w:szCs w:val="24"/>
              </w:rPr>
              <w:t>产品名称</w:t>
            </w:r>
          </w:p>
        </w:tc>
        <w:tc>
          <w:tcPr>
            <w:tcW w:w="11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color w:val="auto"/>
                <w:sz w:val="24"/>
                <w:szCs w:val="24"/>
              </w:rPr>
            </w:pPr>
            <w:r>
              <w:rPr>
                <w:rFonts w:hint="eastAsia" w:ascii="仿宋" w:hAnsi="仿宋" w:eastAsia="仿宋"/>
                <w:b/>
                <w:color w:val="auto"/>
                <w:sz w:val="24"/>
                <w:szCs w:val="24"/>
              </w:rPr>
              <w:t>年度预计用量</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color w:val="auto"/>
                <w:sz w:val="24"/>
                <w:szCs w:val="24"/>
              </w:rPr>
            </w:pPr>
            <w:r>
              <w:rPr>
                <w:rFonts w:ascii="仿宋" w:hAnsi="仿宋" w:eastAsia="仿宋"/>
                <w:b/>
                <w:color w:val="auto"/>
                <w:sz w:val="24"/>
                <w:szCs w:val="24"/>
              </w:rPr>
              <w:t>技术参数</w:t>
            </w:r>
          </w:p>
        </w:tc>
      </w:tr>
      <w:tr>
        <w:tblPrEx>
          <w:tblCellMar>
            <w:top w:w="0" w:type="dxa"/>
            <w:left w:w="0" w:type="dxa"/>
            <w:bottom w:w="0" w:type="dxa"/>
            <w:right w:w="0" w:type="dxa"/>
          </w:tblCellMar>
        </w:tblPrEx>
        <w:trPr>
          <w:trHeight w:val="404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auto"/>
                <w:kern w:val="0"/>
                <w:sz w:val="24"/>
                <w:szCs w:val="24"/>
              </w:rPr>
            </w:pPr>
            <w:r>
              <w:rPr>
                <w:rFonts w:hint="eastAsia"/>
                <w:color w:val="auto"/>
              </w:rPr>
              <w:t>Y染色体微缺失基因检测试剂盒（PCR-毛细管电泳法）</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left="360" w:hanging="360"/>
              <w:jc w:val="center"/>
              <w:rPr>
                <w:rFonts w:hint="default" w:ascii="仿宋" w:hAnsi="仿宋" w:eastAsia="仿宋" w:cs="宋体"/>
                <w:color w:val="auto"/>
                <w:kern w:val="0"/>
                <w:sz w:val="24"/>
                <w:szCs w:val="24"/>
                <w:lang w:val="en-US" w:eastAsia="zh-CN"/>
              </w:rPr>
            </w:pPr>
            <w:r>
              <w:rPr>
                <w:rFonts w:hint="eastAsia" w:ascii="宋体" w:hAnsi="宋体" w:eastAsia="宋体" w:cs="Times New Roman"/>
                <w:color w:val="auto"/>
                <w:kern w:val="2"/>
                <w:sz w:val="18"/>
                <w:szCs w:val="18"/>
                <w:lang w:val="en-US" w:eastAsia="zh-CN" w:bidi="ar-SA"/>
              </w:rPr>
              <w:t>120人份</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00" w:lineRule="auto"/>
              <w:jc w:val="left"/>
              <w:rPr>
                <w:rFonts w:hint="eastAsia"/>
                <w:color w:val="auto"/>
              </w:rPr>
            </w:pPr>
            <w:r>
              <w:rPr>
                <w:rFonts w:hint="eastAsia"/>
                <w:color w:val="auto"/>
              </w:rPr>
              <w:t>*1.本试剂盒用于体外定性检测人类（男性）全血基因组 DNA 样本，可以检测 Y 染色体上影响精子生成的AZF区域是否发生片段微缺失。检测的位点必须包括 6 个基础位点（AZFa 区（sY84、 sY86）、AZFb 区（sY127、 sY134）、AZFc 区（sY254、sY255））和sY160、SRY、ZFX/Y 等位点。</w:t>
            </w:r>
          </w:p>
          <w:p>
            <w:pPr>
              <w:widowControl/>
              <w:spacing w:line="300" w:lineRule="auto"/>
              <w:jc w:val="left"/>
              <w:rPr>
                <w:rFonts w:hint="eastAsia"/>
                <w:color w:val="auto"/>
              </w:rPr>
            </w:pPr>
            <w:r>
              <w:rPr>
                <w:rFonts w:hint="eastAsia"/>
                <w:color w:val="auto"/>
              </w:rPr>
              <w:t>*2.产品采用多重PCR扩增加毛细管电泳的技术方法。</w:t>
            </w:r>
          </w:p>
          <w:p>
            <w:pPr>
              <w:widowControl/>
              <w:spacing w:line="300" w:lineRule="auto"/>
              <w:jc w:val="left"/>
              <w:rPr>
                <w:rFonts w:hint="eastAsia"/>
                <w:color w:val="auto"/>
              </w:rPr>
            </w:pPr>
            <w:r>
              <w:rPr>
                <w:rFonts w:hint="eastAsia"/>
                <w:color w:val="auto"/>
              </w:rPr>
              <w:t>3.检测性能：特异性强； 重复性好；</w:t>
            </w:r>
          </w:p>
          <w:p>
            <w:pPr>
              <w:widowControl/>
              <w:spacing w:line="300" w:lineRule="auto"/>
              <w:jc w:val="left"/>
              <w:rPr>
                <w:rFonts w:hint="eastAsia"/>
                <w:color w:val="auto"/>
              </w:rPr>
            </w:pPr>
            <w:r>
              <w:rPr>
                <w:rFonts w:hint="eastAsia"/>
                <w:color w:val="auto"/>
              </w:rPr>
              <w:t>4.灵敏性高，能稳定检出大于2ng/μL人类基因组 DNA。</w:t>
            </w:r>
          </w:p>
          <w:p>
            <w:pPr>
              <w:widowControl/>
              <w:spacing w:line="300" w:lineRule="auto"/>
              <w:jc w:val="left"/>
              <w:rPr>
                <w:rFonts w:ascii="仿宋" w:hAnsi="仿宋" w:eastAsia="仿宋" w:cs="宋体"/>
                <w:color w:val="auto"/>
                <w:kern w:val="0"/>
                <w:sz w:val="24"/>
                <w:szCs w:val="24"/>
              </w:rPr>
            </w:pPr>
            <w:r>
              <w:rPr>
                <w:rFonts w:hint="eastAsia"/>
                <w:color w:val="auto"/>
              </w:rPr>
              <w:t>*5.适用于市面上大部分PCR仪和AB3500DX基因分析仪。</w:t>
            </w:r>
          </w:p>
        </w:tc>
      </w:tr>
    </w:tbl>
    <w:p>
      <w:pPr>
        <w:widowControl/>
        <w:shd w:val="clear" w:color="auto" w:fill="FFFFFF"/>
        <w:wordWrap w:val="0"/>
        <w:spacing w:line="276" w:lineRule="auto"/>
        <w:jc w:val="left"/>
        <w:rPr>
          <w:rFonts w:hint="eastAsia"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4.商务要求：</w:t>
      </w:r>
    </w:p>
    <w:p>
      <w:pPr>
        <w:widowControl/>
        <w:ind w:firstLine="592" w:firstLineChars="200"/>
        <w:jc w:val="left"/>
        <w:rPr>
          <w:rFonts w:ascii="宋体" w:hAnsi="宋体" w:eastAsia="宋体" w:cs="Segoe UI"/>
          <w:b/>
          <w:bCs/>
          <w:color w:val="333333"/>
          <w:kern w:val="0"/>
          <w:sz w:val="28"/>
          <w:szCs w:val="28"/>
        </w:rPr>
      </w:pPr>
      <w:r>
        <w:rPr>
          <w:rFonts w:hint="eastAsia" w:ascii="仿宋" w:hAnsi="仿宋" w:eastAsia="仿宋" w:cs="Segoe UI"/>
          <w:color w:val="auto"/>
          <w:spacing w:val="8"/>
          <w:kern w:val="0"/>
          <w:sz w:val="28"/>
          <w:szCs w:val="28"/>
        </w:rPr>
        <w:t>供应商投标第二类医疗器械必须具备医疗器械注册证或医疗器械备案凭证,且必须为四川省药械集中采购及价格监管平台挂网公示产品，提供产品挂网商品代码。</w:t>
      </w:r>
      <w:r>
        <w:rPr>
          <w:rFonts w:ascii="宋体" w:hAnsi="宋体" w:eastAsia="宋体" w:cs="Segoe UI"/>
          <w:b/>
          <w:bCs/>
          <w:color w:val="333333"/>
          <w:kern w:val="0"/>
          <w:sz w:val="28"/>
          <w:szCs w:val="28"/>
        </w:rPr>
        <w:br w:type="page"/>
      </w:r>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496" w:type="dxa"/>
        <w:tblInd w:w="-743" w:type="dxa"/>
        <w:shd w:val="clear" w:color="auto" w:fill="FFFFFF"/>
        <w:tblLayout w:type="autofit"/>
        <w:tblCellMar>
          <w:top w:w="0" w:type="dxa"/>
          <w:left w:w="0" w:type="dxa"/>
          <w:bottom w:w="0" w:type="dxa"/>
          <w:right w:w="0" w:type="dxa"/>
        </w:tblCellMar>
      </w:tblPr>
      <w:tblGrid>
        <w:gridCol w:w="646"/>
        <w:gridCol w:w="1083"/>
        <w:gridCol w:w="650"/>
        <w:gridCol w:w="3867"/>
        <w:gridCol w:w="3250"/>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序号</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评分因素</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分值</w:t>
            </w:r>
          </w:p>
        </w:tc>
        <w:tc>
          <w:tcPr>
            <w:tcW w:w="38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评分标准</w:t>
            </w:r>
          </w:p>
        </w:tc>
        <w:tc>
          <w:tcPr>
            <w:tcW w:w="32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说明</w:t>
            </w:r>
          </w:p>
        </w:tc>
      </w:tr>
      <w:tr>
        <w:tblPrEx>
          <w:shd w:val="clear" w:color="auto" w:fill="FFFFFF"/>
          <w:tblCellMar>
            <w:top w:w="0" w:type="dxa"/>
            <w:left w:w="0" w:type="dxa"/>
            <w:bottom w:w="0" w:type="dxa"/>
            <w:right w:w="0" w:type="dxa"/>
          </w:tblCellMar>
        </w:tblPrEx>
        <w:trPr>
          <w:trHeight w:val="2182"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1</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rPr>
            </w:pPr>
            <w:r>
              <w:rPr>
                <w:rFonts w:hint="eastAsia"/>
              </w:rPr>
              <w:t>投标报价</w:t>
            </w:r>
          </w:p>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w:t>
            </w:r>
            <w:r>
              <w:rPr>
                <w:rFonts w:hint="eastAsia"/>
              </w:rPr>
              <w:t>%</w:t>
            </w:r>
          </w:p>
        </w:tc>
        <w:tc>
          <w:tcPr>
            <w:tcW w:w="6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default" w:eastAsia="宋体" w:asciiTheme="minorHAnsi" w:hAnsiTheme="minorHAnsi" w:cstheme="minorBidi"/>
                <w:kern w:val="2"/>
                <w:sz w:val="21"/>
                <w:szCs w:val="22"/>
                <w:lang w:val="en-US" w:eastAsia="zh-CN" w:bidi="ar-SA"/>
              </w:rPr>
            </w:pPr>
            <w:r>
              <w:rPr>
                <w:rFonts w:hint="eastAsia"/>
                <w:lang w:val="en-US" w:eastAsia="zh-CN"/>
              </w:rPr>
              <w:t>35</w:t>
            </w:r>
          </w:p>
        </w:tc>
        <w:tc>
          <w:tcPr>
            <w:tcW w:w="3867"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rPr>
            </w:pPr>
            <w:r>
              <w:rPr>
                <w:rFonts w:hint="eastAsia"/>
              </w:rPr>
              <w:t>1.价格分：</w:t>
            </w:r>
          </w:p>
          <w:p>
            <w:pPr>
              <w:widowControl/>
              <w:jc w:val="left"/>
              <w:textAlignment w:val="center"/>
              <w:rPr>
                <w:rFonts w:hint="default" w:eastAsia="宋体"/>
                <w:lang w:val="en-US" w:eastAsia="zh-CN"/>
              </w:rPr>
            </w:pPr>
            <w:r>
              <w:rPr>
                <w:rFonts w:hint="eastAsia"/>
              </w:rPr>
              <w:t>投标材料满足招标文件要求且以投标总价最低的为评标基准价，其价格分为</w:t>
            </w:r>
            <w:r>
              <w:rPr>
                <w:rFonts w:hint="eastAsia"/>
                <w:lang w:val="en-US" w:eastAsia="zh-CN"/>
              </w:rPr>
              <w:t>35</w:t>
            </w:r>
            <w:r>
              <w:rPr>
                <w:rFonts w:hint="eastAsia"/>
              </w:rPr>
              <w:t>分。其他投标单位的价格分统一按照以下公式计算：价格分=(评标基准价／投标总价)×</w:t>
            </w:r>
            <w:r>
              <w:rPr>
                <w:rFonts w:hint="eastAsia"/>
                <w:lang w:val="en-US" w:eastAsia="zh-CN"/>
              </w:rPr>
              <w:t>35</w:t>
            </w:r>
          </w:p>
          <w:p>
            <w:pPr>
              <w:widowControl/>
              <w:jc w:val="left"/>
              <w:textAlignment w:val="center"/>
              <w:rPr>
                <w:rFonts w:hint="eastAsia"/>
              </w:rPr>
            </w:pPr>
            <w:r>
              <w:rPr>
                <w:rFonts w:hint="eastAsia"/>
              </w:rPr>
              <w:t>2.投标总价</w:t>
            </w:r>
          </w:p>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投标总价=各项材料投标单价*我院预估年度用量之和</w:t>
            </w:r>
          </w:p>
        </w:tc>
        <w:tc>
          <w:tcPr>
            <w:tcW w:w="325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rPr>
            </w:pPr>
            <w:r>
              <w:rPr>
                <w:rFonts w:hint="eastAsia"/>
              </w:rPr>
              <w:t>1.价格评分细分材料表详见附表1；</w:t>
            </w:r>
          </w:p>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2.若同种产品有多种规格型号且涉及不同报价，投标单价按照不同规格报价的均价计算。</w:t>
            </w:r>
          </w:p>
        </w:tc>
      </w:tr>
      <w:tr>
        <w:tblPrEx>
          <w:shd w:val="clear" w:color="auto" w:fill="FFFFFF"/>
          <w:tblCellMar>
            <w:top w:w="0" w:type="dxa"/>
            <w:left w:w="0" w:type="dxa"/>
            <w:bottom w:w="0" w:type="dxa"/>
            <w:right w:w="0" w:type="dxa"/>
          </w:tblCellMar>
        </w:tblPrEx>
        <w:trPr>
          <w:trHeight w:val="3154"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2</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rPr>
            </w:pPr>
            <w:r>
              <w:rPr>
                <w:rFonts w:hint="eastAsia"/>
              </w:rPr>
              <w:t>技术指标</w:t>
            </w:r>
          </w:p>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w:t>
            </w:r>
            <w:r>
              <w:rPr>
                <w:rFonts w:hint="eastAsia"/>
              </w:rPr>
              <w:t>%</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eastAsia="宋体" w:asciiTheme="minorHAnsi" w:hAnsiTheme="minorHAnsi" w:cstheme="minorBidi"/>
                <w:kern w:val="2"/>
                <w:sz w:val="21"/>
                <w:szCs w:val="22"/>
                <w:lang w:val="en-US" w:eastAsia="zh-CN" w:bidi="ar-SA"/>
              </w:rPr>
            </w:pPr>
            <w:r>
              <w:rPr>
                <w:rFonts w:hint="eastAsia"/>
                <w:lang w:val="en-US" w:eastAsia="zh-CN"/>
              </w:rPr>
              <w:t>40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投标人提供的检测试剂的技术参数完全符合招标文件要求，没有负偏离得</w:t>
            </w:r>
            <w:r>
              <w:rPr>
                <w:rFonts w:hint="eastAsia"/>
                <w:lang w:val="en-US" w:eastAsia="zh-CN"/>
              </w:rPr>
              <w:t>40</w:t>
            </w:r>
            <w:r>
              <w:rPr>
                <w:rFonts w:hint="eastAsia"/>
              </w:rPr>
              <w:t>分；非“*”条款技术参数不满足招标文件要求（负偏离），一项扣</w:t>
            </w:r>
            <w:r>
              <w:rPr>
                <w:rFonts w:hint="eastAsia"/>
                <w:lang w:val="en-US" w:eastAsia="zh-CN"/>
              </w:rPr>
              <w:t>5</w:t>
            </w:r>
            <w:r>
              <w:rPr>
                <w:rFonts w:hint="eastAsia"/>
              </w:rPr>
              <w:t>分，“*”条款技术参数与招标文件要求有负偏离的，一项扣</w:t>
            </w:r>
            <w:r>
              <w:rPr>
                <w:rFonts w:hint="eastAsia"/>
                <w:lang w:val="en-US" w:eastAsia="zh-CN"/>
              </w:rPr>
              <w:t>10</w:t>
            </w:r>
            <w:r>
              <w:rPr>
                <w:rFonts w:hint="eastAsia"/>
              </w:rPr>
              <w:t>分；扣完为止。</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203"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3</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供应商能力15%</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asciiTheme="minorHAnsi" w:hAnsiTheme="minorHAnsi" w:eastAsiaTheme="minorEastAsia" w:cstheme="minorBidi"/>
                <w:kern w:val="2"/>
                <w:sz w:val="21"/>
                <w:szCs w:val="22"/>
                <w:lang w:val="en-US" w:eastAsia="zh-CN" w:bidi="ar-SA"/>
              </w:rPr>
            </w:pPr>
            <w:r>
              <w:rPr>
                <w:rFonts w:hint="eastAsia"/>
              </w:rPr>
              <w:t>15</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投标人需提供该产品2019年以来国内三甲医疗机构客户名单，每提供1家三甲医疗机构得3分，最多15分。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rPr>
            </w:pPr>
            <w:r>
              <w:rPr>
                <w:rFonts w:hint="eastAsia"/>
              </w:rPr>
              <w:t>以下三项材料均可作为依据：</w:t>
            </w:r>
          </w:p>
          <w:p>
            <w:pPr>
              <w:widowControl/>
              <w:jc w:val="left"/>
              <w:textAlignment w:val="center"/>
              <w:rPr>
                <w:rFonts w:hint="eastAsia"/>
              </w:rPr>
            </w:pPr>
            <w:r>
              <w:rPr>
                <w:rFonts w:hint="eastAsia"/>
              </w:rPr>
              <w:t>1.合同复印件；</w:t>
            </w:r>
          </w:p>
          <w:p>
            <w:pPr>
              <w:widowControl/>
              <w:jc w:val="left"/>
              <w:textAlignment w:val="center"/>
              <w:rPr>
                <w:rFonts w:hint="eastAsia"/>
              </w:rPr>
            </w:pPr>
            <w:r>
              <w:rPr>
                <w:rFonts w:hint="eastAsia"/>
              </w:rPr>
              <w:t>2.中标通知书；</w:t>
            </w:r>
          </w:p>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3.发票复印件（若发票复印件上无产品明细则需附销货清单）；</w:t>
            </w:r>
          </w:p>
        </w:tc>
      </w:tr>
      <w:tr>
        <w:tblPrEx>
          <w:tblCellMar>
            <w:top w:w="0" w:type="dxa"/>
            <w:left w:w="0" w:type="dxa"/>
            <w:bottom w:w="0" w:type="dxa"/>
            <w:right w:w="0" w:type="dxa"/>
          </w:tblCellMar>
        </w:tblPrEx>
        <w:trPr>
          <w:trHeight w:val="841"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4</w:t>
            </w:r>
          </w:p>
        </w:tc>
        <w:tc>
          <w:tcPr>
            <w:tcW w:w="10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rPr>
            </w:pPr>
            <w:r>
              <w:rPr>
                <w:rFonts w:hint="eastAsia"/>
              </w:rPr>
              <w:t>售后服务</w:t>
            </w:r>
          </w:p>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0</w:t>
            </w:r>
            <w:r>
              <w:rPr>
                <w:rFonts w:hint="eastAsia"/>
              </w:rPr>
              <w:t>%</w:t>
            </w: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eastAsia="宋体" w:asciiTheme="minorHAnsi" w:hAnsiTheme="minorHAnsi" w:cstheme="minorBidi"/>
                <w:kern w:val="2"/>
                <w:sz w:val="21"/>
                <w:szCs w:val="22"/>
                <w:lang w:val="en-US" w:eastAsia="zh-CN" w:bidi="ar-SA"/>
              </w:rPr>
            </w:pPr>
            <w:r>
              <w:rPr>
                <w:rFonts w:hint="eastAsia"/>
              </w:rPr>
              <w:t>1</w:t>
            </w:r>
            <w:r>
              <w:rPr>
                <w:rFonts w:hint="eastAsia"/>
                <w:lang w:val="en-US" w:eastAsia="zh-CN"/>
              </w:rPr>
              <w:t>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根据供应商提供的售后服务方案，包含：①质量保证范围；②售后服务承诺；③人员培训计划；④应急预案；⑤产品彩页简介等五个方面进行评审，五个方面提供完整且描述详细，符合本项目实际情况、有利于项目实施的得</w:t>
            </w:r>
            <w:r>
              <w:rPr>
                <w:rFonts w:hint="eastAsia"/>
                <w:lang w:val="en-US" w:eastAsia="zh-CN"/>
              </w:rPr>
              <w:t>10</w:t>
            </w:r>
            <w:r>
              <w:rPr>
                <w:rFonts w:hint="eastAsia"/>
              </w:rPr>
              <w:t>分；每缺少一项或提供的方案与本项目无关的扣</w:t>
            </w:r>
            <w:r>
              <w:rPr>
                <w:rFonts w:hint="eastAsia"/>
                <w:lang w:val="en-US" w:eastAsia="zh-CN"/>
              </w:rPr>
              <w:t>2</w:t>
            </w:r>
            <w:r>
              <w:rPr>
                <w:rFonts w:hint="eastAsia"/>
              </w:rPr>
              <w:t>分；每有一项存在缺陷或漏洞的，且不利于项目实施的扣</w:t>
            </w:r>
            <w:r>
              <w:rPr>
                <w:rFonts w:hint="eastAsia"/>
                <w:lang w:val="en-US" w:eastAsia="zh-CN"/>
              </w:rPr>
              <w:t>1</w:t>
            </w:r>
            <w:r>
              <w:rPr>
                <w:rFonts w:hint="eastAsia"/>
              </w:rPr>
              <w:t>分，分值扣完为止。</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default" w:asciiTheme="minorHAnsi" w:hAnsiTheme="minorHAnsi" w:eastAsiaTheme="minorEastAsia" w:cstheme="minorBidi"/>
                <w:kern w:val="2"/>
                <w:sz w:val="21"/>
                <w:szCs w:val="22"/>
                <w:lang w:val="en-US" w:eastAsia="zh-CN" w:bidi="ar-SA"/>
              </w:rPr>
            </w:pPr>
            <w:r>
              <w:rPr>
                <w:rFonts w:hint="eastAsia"/>
              </w:rPr>
              <w:t>未提供不得分。</w:t>
            </w:r>
          </w:p>
        </w:tc>
      </w:tr>
    </w:tbl>
    <w:p>
      <w:pPr>
        <w:widowControl/>
        <w:jc w:val="left"/>
        <w:rPr>
          <w:rFonts w:cs="Segoe UI" w:asciiTheme="majorEastAsia" w:hAnsiTheme="majorEastAsia" w:eastAsiaTheme="majorEastAsia"/>
          <w:b/>
          <w:bCs/>
          <w:color w:val="333333"/>
          <w:kern w:val="0"/>
          <w:sz w:val="22"/>
          <w:szCs w:val="24"/>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775" w:type="dxa"/>
        <w:tblInd w:w="0" w:type="dxa"/>
        <w:shd w:val="clear" w:color="auto" w:fill="FFFFFF"/>
        <w:tblLayout w:type="autofit"/>
        <w:tblCellMar>
          <w:top w:w="0" w:type="dxa"/>
          <w:left w:w="0" w:type="dxa"/>
          <w:bottom w:w="0" w:type="dxa"/>
          <w:right w:w="0" w:type="dxa"/>
        </w:tblCellMar>
      </w:tblPr>
      <w:tblGrid>
        <w:gridCol w:w="466"/>
        <w:gridCol w:w="1570"/>
        <w:gridCol w:w="817"/>
        <w:gridCol w:w="550"/>
        <w:gridCol w:w="1066"/>
        <w:gridCol w:w="534"/>
        <w:gridCol w:w="1059"/>
        <w:gridCol w:w="850"/>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5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8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0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Y染色体微缺失基因检测试剂盒（PCR-毛细管电泳法）</w:t>
            </w:r>
          </w:p>
        </w:tc>
        <w:tc>
          <w:tcPr>
            <w:tcW w:w="8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120人份</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p>
      <w:pPr>
        <w:pStyle w:val="2"/>
        <w:jc w:val="left"/>
        <w:rPr>
          <w:rFonts w:hint="eastAsia" w:ascii="仿宋_GB2312" w:hAnsi="Segoe UI" w:eastAsia="仿宋_GB2312" w:cs="Segoe UI"/>
          <w:b/>
          <w:bCs/>
          <w:color w:val="333333"/>
          <w:kern w:val="0"/>
          <w:sz w:val="24"/>
          <w:szCs w:val="24"/>
          <w:lang w:val="en-US" w:eastAsia="zh-CN" w:bidi="ar-SA"/>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eastAsia" w:ascii="仿宋_GB2312" w:hAnsi="Segoe UI" w:eastAsia="仿宋_GB2312" w:cs="Segoe UI"/>
          <w:b/>
          <w:bCs/>
          <w:color w:val="333333"/>
          <w:kern w:val="0"/>
          <w:sz w:val="24"/>
          <w:szCs w:val="24"/>
        </w:rPr>
        <w:t>：</w:t>
      </w:r>
      <w:r>
        <w:rPr>
          <w:rFonts w:hint="eastAsia" w:ascii="仿宋_GB2312" w:hAnsi="Segoe UI" w:eastAsia="仿宋_GB2312" w:cs="Segoe UI"/>
          <w:b/>
          <w:bCs/>
          <w:color w:val="333333"/>
          <w:kern w:val="0"/>
          <w:sz w:val="24"/>
          <w:szCs w:val="24"/>
          <w:lang w:val="en-US" w:eastAsia="zh-CN" w:bidi="ar-SA"/>
        </w:rPr>
        <w:t>无围标、串标行为承诺书</w:t>
      </w:r>
    </w:p>
    <w:p>
      <w:pPr>
        <w:ind w:firstLine="64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5.不同供应商的投标文件相互混装；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7.不同供应商的董事、监事、高管、单位负责人为同一人或者存在控股、管理关系的不同单位参加同一采购项目；</w:t>
      </w:r>
    </w:p>
    <w:p>
      <w:pPr>
        <w:pStyle w:val="2"/>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8.供应商之间事先约定由某一特定供应商中标、成交；</w:t>
      </w:r>
    </w:p>
    <w:p>
      <w:pPr>
        <w:ind w:firstLine="480" w:firstLineChars="200"/>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 xml:space="preserve">    10.法律法规界定的其他围标串标行为。</w:t>
      </w:r>
    </w:p>
    <w:p>
      <w:pPr>
        <w:numPr>
          <w:ilvl w:val="0"/>
          <w:numId w:val="0"/>
        </w:numPr>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hint="eastAsia" w:ascii="仿宋_GB2312" w:hAnsi="Segoe UI" w:eastAsia="仿宋_GB2312" w:cs="Segoe UI"/>
          <w:color w:val="333333"/>
          <w:kern w:val="0"/>
          <w:sz w:val="24"/>
          <w:szCs w:val="24"/>
          <w:lang w:val="en-US" w:eastAsia="zh-CN" w:bidi="ar-SA"/>
        </w:rPr>
      </w:pPr>
    </w:p>
    <w:p>
      <w:pPr>
        <w:pStyle w:val="2"/>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投标人法人代表或委托代理人（承诺人） ：</w:t>
      </w:r>
    </w:p>
    <w:p>
      <w:pPr>
        <w:pStyle w:val="2"/>
        <w:ind w:firstLine="480" w:firstLineChars="200"/>
        <w:rPr>
          <w:rFonts w:hint="eastAsia"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 xml:space="preserve">投标人：（公章）  </w:t>
      </w:r>
    </w:p>
    <w:p>
      <w:pPr>
        <w:pStyle w:val="2"/>
        <w:ind w:firstLine="480" w:firstLineChars="200"/>
        <w:rPr>
          <w:rFonts w:hint="default" w:ascii="仿宋_GB2312" w:hAnsi="Segoe UI" w:eastAsia="仿宋_GB2312" w:cs="Segoe UI"/>
          <w:color w:val="333333"/>
          <w:kern w:val="0"/>
          <w:sz w:val="24"/>
          <w:szCs w:val="24"/>
          <w:lang w:val="en-US" w:eastAsia="zh-CN" w:bidi="ar-SA"/>
        </w:rPr>
      </w:pPr>
      <w:r>
        <w:rPr>
          <w:rFonts w:hint="eastAsia" w:ascii="仿宋_GB2312" w:hAnsi="Segoe UI" w:eastAsia="仿宋_GB2312" w:cs="Segoe UI"/>
          <w:color w:val="333333"/>
          <w:kern w:val="0"/>
          <w:sz w:val="24"/>
          <w:szCs w:val="24"/>
          <w:lang w:val="en-US" w:eastAsia="zh-CN" w:bidi="ar-SA"/>
        </w:rPr>
        <w:t>日期：   年    月    日</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wNjRhZjk1MmY1ZDZkZDU2ODIzZmViMWU5MmUzMjMifQ=="/>
  </w:docVars>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1FB0577"/>
    <w:rsid w:val="0C41127C"/>
    <w:rsid w:val="0C426182"/>
    <w:rsid w:val="0C992E66"/>
    <w:rsid w:val="117C2CD0"/>
    <w:rsid w:val="1B5468D6"/>
    <w:rsid w:val="1D2A46D6"/>
    <w:rsid w:val="22A64E14"/>
    <w:rsid w:val="26302C07"/>
    <w:rsid w:val="2BF769D8"/>
    <w:rsid w:val="30546461"/>
    <w:rsid w:val="3FFA53EF"/>
    <w:rsid w:val="408D36B4"/>
    <w:rsid w:val="45CC01FF"/>
    <w:rsid w:val="4C707A3A"/>
    <w:rsid w:val="53EB3896"/>
    <w:rsid w:val="5A806913"/>
    <w:rsid w:val="5B3E042E"/>
    <w:rsid w:val="62740BD9"/>
    <w:rsid w:val="638E5CCA"/>
    <w:rsid w:val="69C9180A"/>
    <w:rsid w:val="6AAF3782"/>
    <w:rsid w:val="7268502C"/>
    <w:rsid w:val="72A32EE1"/>
    <w:rsid w:val="76306143"/>
    <w:rsid w:val="7CCA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4224</Words>
  <Characters>4393</Characters>
  <Lines>34</Lines>
  <Paragraphs>9</Paragraphs>
  <TotalTime>0</TotalTime>
  <ScaleCrop>false</ScaleCrop>
  <LinksUpToDate>false</LinksUpToDate>
  <CharactersWithSpaces>4471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WYR</cp:lastModifiedBy>
  <cp:lastPrinted>2022-03-10T08:50:00Z</cp:lastPrinted>
  <dcterms:modified xsi:type="dcterms:W3CDTF">2022-05-26T06:57:20Z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EC63BFBCE43143EA9B84E4C2101A808F</vt:lpwstr>
  </property>
</Properties>
</file>