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cs="宋体"/>
          <w:b/>
          <w:sz w:val="28"/>
          <w:szCs w:val="28"/>
        </w:rPr>
      </w:pPr>
    </w:p>
    <w:p>
      <w:pPr>
        <w:widowControl/>
        <w:jc w:val="left"/>
        <w:rPr>
          <w:rFonts w:hint="default" w:ascii="宋体" w:hAnsi="宋体" w:eastAsia="宋体"/>
          <w:b/>
          <w:bCs/>
          <w:sz w:val="30"/>
          <w:szCs w:val="30"/>
          <w:lang w:val="en-US" w:eastAsia="zh-CN"/>
        </w:rPr>
      </w:pPr>
      <w:r>
        <w:rPr>
          <w:rFonts w:hint="eastAsia" w:ascii="宋体" w:hAnsi="宋体"/>
          <w:b/>
          <w:bCs/>
          <w:sz w:val="30"/>
          <w:szCs w:val="30"/>
          <w:lang w:val="en-US" w:eastAsia="zh-CN"/>
        </w:rPr>
        <w:t>附件1</w:t>
      </w:r>
    </w:p>
    <w:p>
      <w:pPr>
        <w:pStyle w:val="8"/>
        <w:widowControl/>
        <w:spacing w:line="440" w:lineRule="atLeast"/>
        <w:rPr>
          <w:rFonts w:hint="eastAsia" w:ascii="仿宋" w:hAnsi="仿宋" w:eastAsia="仿宋" w:cs="仿宋"/>
        </w:rPr>
      </w:pPr>
      <w:r>
        <w:rPr>
          <w:rFonts w:hint="eastAsia" w:ascii="仿宋" w:hAnsi="仿宋" w:eastAsia="仿宋" w:cs="仿宋"/>
          <w:b/>
          <w:color w:val="000000"/>
        </w:rPr>
        <w:t>一、项目概况</w:t>
      </w:r>
    </w:p>
    <w:p>
      <w:pPr>
        <w:pStyle w:val="8"/>
        <w:widowControl/>
        <w:spacing w:line="440" w:lineRule="atLeast"/>
        <w:ind w:firstLine="485"/>
        <w:rPr>
          <w:rFonts w:hint="eastAsia" w:ascii="楷体" w:hAnsi="楷体" w:eastAsia="楷体" w:cs="楷体"/>
          <w:bCs/>
          <w:sz w:val="24"/>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项目名称：</w:t>
      </w:r>
      <w:r>
        <w:rPr>
          <w:rFonts w:hint="eastAsia" w:ascii="楷体" w:hAnsi="楷体" w:eastAsia="楷体" w:cs="楷体"/>
          <w:bCs/>
          <w:sz w:val="24"/>
        </w:rPr>
        <w:t>四川省妇幼保健院未污染输液瓶（袋）回收服务</w:t>
      </w:r>
    </w:p>
    <w:p>
      <w:pPr>
        <w:pStyle w:val="8"/>
        <w:widowControl/>
        <w:spacing w:line="440" w:lineRule="atLeast"/>
        <w:ind w:firstLine="485"/>
        <w:rPr>
          <w:rFonts w:hint="eastAsia" w:ascii="楷体" w:hAnsi="楷体" w:eastAsia="楷体" w:cs="楷体"/>
          <w:bCs/>
          <w:sz w:val="24"/>
          <w:lang w:val="en-US" w:eastAsia="zh-CN"/>
        </w:rPr>
      </w:pPr>
      <w:r>
        <w:rPr>
          <w:rFonts w:hint="eastAsia" w:ascii="楷体" w:hAnsi="楷体" w:eastAsia="楷体" w:cs="楷体"/>
          <w:bCs/>
          <w:sz w:val="24"/>
          <w:lang w:val="en-US" w:eastAsia="zh-CN"/>
        </w:rPr>
        <w:t>2、项目概述：根据《关于开展医疗机构废弃物专项整治工作的通知》（国卫办医函﹝2020﹞389号）、《四川省医疗机构废弃物专项整治方案》（川卫函〔2020〕155号）有关要求，为进一步规范我院医疗机构未被污染输液瓶（袋）回收利用工作要求，按照“闭环管理、定点定向、全程追溯”的原则，规范未被污染的输液瓶（袋）管理。其中文件要求“就近就便”原则，将未被污染的输液瓶(袋)集中交由有回收能力的企业进行处置，避免长距离转运，并做好交接登记工作，确保未被污染的输液瓶（袋）去向可追溯，杜绝流入非法渠道。</w:t>
      </w:r>
    </w:p>
    <w:p>
      <w:pPr>
        <w:pStyle w:val="8"/>
        <w:widowControl/>
        <w:spacing w:line="440" w:lineRule="atLeast"/>
        <w:ind w:firstLine="485"/>
        <w:rPr>
          <w:rFonts w:hint="eastAsia" w:ascii="仿宋" w:hAnsi="仿宋" w:eastAsia="仿宋" w:cs="仿宋"/>
          <w:lang w:val="en-US" w:eastAsia="zh-CN"/>
        </w:rPr>
      </w:pPr>
      <w:r>
        <w:rPr>
          <w:rFonts w:hint="eastAsia" w:ascii="仿宋" w:hAnsi="仿宋" w:eastAsia="仿宋" w:cs="仿宋"/>
          <w:color w:val="000000"/>
          <w:lang w:val="en-US" w:eastAsia="zh-CN"/>
        </w:rPr>
        <w:t>3、</w:t>
      </w:r>
      <w:r>
        <w:rPr>
          <w:rFonts w:hint="eastAsia" w:ascii="仿宋" w:hAnsi="仿宋" w:eastAsia="仿宋" w:cs="仿宋"/>
          <w:color w:val="000000"/>
        </w:rPr>
        <w:t xml:space="preserve">项目位置：成都市武侯区沙堰西二街290号 </w:t>
      </w:r>
      <w:r>
        <w:rPr>
          <w:rFonts w:hint="eastAsia" w:ascii="仿宋" w:hAnsi="仿宋" w:eastAsia="仿宋" w:cs="仿宋"/>
          <w:color w:val="000000"/>
          <w:lang w:val="en-US" w:eastAsia="zh-CN"/>
        </w:rPr>
        <w:t>和双流区岐黄二路</w:t>
      </w:r>
    </w:p>
    <w:p>
      <w:pPr>
        <w:pStyle w:val="8"/>
        <w:widowControl/>
        <w:spacing w:line="440" w:lineRule="atLeast"/>
        <w:rPr>
          <w:rFonts w:hint="eastAsia" w:ascii="仿宋" w:hAnsi="仿宋" w:eastAsia="仿宋" w:cs="仿宋"/>
          <w:color w:val="000000"/>
          <w:lang w:val="en-US" w:eastAsia="zh-CN"/>
        </w:rPr>
      </w:pPr>
      <w:r>
        <w:rPr>
          <w:rFonts w:hint="eastAsia" w:ascii="仿宋" w:hAnsi="仿宋" w:eastAsia="仿宋" w:cs="仿宋"/>
          <w:color w:val="000000"/>
          <w:lang w:val="en-US" w:eastAsia="zh-CN"/>
        </w:rPr>
        <w:t>二、</w:t>
      </w:r>
      <w:r>
        <w:rPr>
          <w:rFonts w:hint="eastAsia" w:ascii="仿宋" w:hAnsi="仿宋" w:eastAsia="仿宋" w:cs="仿宋"/>
          <w:b/>
          <w:bCs/>
          <w:color w:val="000000"/>
          <w:lang w:val="en-US" w:eastAsia="zh-CN"/>
        </w:rPr>
        <w:t>服务内容</w:t>
      </w:r>
    </w:p>
    <w:p>
      <w:pPr>
        <w:pStyle w:val="8"/>
        <w:widowControl/>
        <w:spacing w:line="440" w:lineRule="atLeast"/>
        <w:ind w:firstLine="485"/>
        <w:rPr>
          <w:rFonts w:hint="eastAsia" w:ascii="仿宋" w:hAnsi="仿宋" w:eastAsia="楷体" w:cs="仿宋"/>
          <w:color w:val="000000"/>
          <w:lang w:val="en-US" w:eastAsia="zh-CN"/>
        </w:rPr>
      </w:pPr>
      <w:r>
        <w:rPr>
          <w:rFonts w:hint="eastAsia" w:ascii="仿宋" w:hAnsi="仿宋" w:eastAsia="仿宋" w:cs="仿宋"/>
          <w:color w:val="000000"/>
          <w:lang w:val="en-US" w:eastAsia="zh-CN"/>
        </w:rPr>
        <w:t>每月按照院内要求回收院内</w:t>
      </w:r>
      <w:r>
        <w:rPr>
          <w:rFonts w:hint="eastAsia" w:ascii="楷体" w:hAnsi="楷体" w:eastAsia="楷体" w:cs="楷体"/>
          <w:bCs/>
          <w:sz w:val="24"/>
        </w:rPr>
        <w:t>未污染输液瓶（袋）</w:t>
      </w:r>
    </w:p>
    <w:p>
      <w:pPr>
        <w:pStyle w:val="8"/>
        <w:widowControl/>
        <w:spacing w:line="440" w:lineRule="atLeast"/>
        <w:rPr>
          <w:rFonts w:hint="eastAsia" w:ascii="仿宋" w:hAnsi="仿宋" w:eastAsia="仿宋" w:cs="仿宋"/>
        </w:rPr>
      </w:pPr>
      <w:r>
        <w:rPr>
          <w:rFonts w:hint="eastAsia" w:ascii="仿宋" w:hAnsi="仿宋" w:eastAsia="仿宋" w:cs="仿宋"/>
          <w:color w:val="000000"/>
          <w:lang w:val="en-US" w:eastAsia="zh-CN"/>
        </w:rPr>
        <w:t>三、</w:t>
      </w:r>
      <w:r>
        <w:rPr>
          <w:rFonts w:hint="eastAsia" w:ascii="仿宋" w:hAnsi="仿宋" w:eastAsia="仿宋" w:cs="仿宋"/>
          <w:b/>
          <w:bCs/>
          <w:color w:val="000000"/>
        </w:rPr>
        <w:t>单位要求</w:t>
      </w:r>
    </w:p>
    <w:p>
      <w:pPr>
        <w:pStyle w:val="8"/>
        <w:widowControl/>
        <w:spacing w:line="440" w:lineRule="atLeast"/>
        <w:ind w:firstLine="485"/>
        <w:rPr>
          <w:rFonts w:hint="eastAsia" w:ascii="仿宋" w:hAnsi="仿宋" w:eastAsia="仿宋" w:cs="仿宋"/>
          <w:color w:val="000000"/>
        </w:rPr>
      </w:pPr>
      <w:r>
        <w:rPr>
          <w:rFonts w:hint="eastAsia" w:ascii="仿宋" w:hAnsi="仿宋" w:eastAsia="仿宋" w:cs="仿宋"/>
          <w:color w:val="000000"/>
        </w:rPr>
        <w:t>1.参与投标的投标人必须具有独立法人资格。</w:t>
      </w:r>
    </w:p>
    <w:p>
      <w:pPr>
        <w:pStyle w:val="8"/>
        <w:widowControl/>
        <w:spacing w:line="440" w:lineRule="atLeast"/>
        <w:ind w:firstLine="485"/>
        <w:rPr>
          <w:rFonts w:hint="eastAsia" w:ascii="仿宋" w:hAnsi="仿宋" w:eastAsia="仿宋" w:cs="仿宋"/>
          <w:color w:val="000000"/>
          <w:lang w:val="en-US" w:eastAsia="zh-CN"/>
        </w:rPr>
      </w:pPr>
      <w:r>
        <w:rPr>
          <w:rFonts w:hint="eastAsia" w:ascii="仿宋" w:hAnsi="仿宋" w:eastAsia="仿宋" w:cs="仿宋"/>
          <w:color w:val="000000"/>
        </w:rPr>
        <w:t>2.参与投标的投标人必须</w:t>
      </w:r>
      <w:r>
        <w:rPr>
          <w:rFonts w:hint="eastAsia" w:ascii="仿宋" w:hAnsi="仿宋" w:eastAsia="仿宋" w:cs="仿宋"/>
          <w:color w:val="000000"/>
          <w:lang w:val="en-US" w:eastAsia="zh-CN"/>
        </w:rPr>
        <w:t>为四川卫生健康委员会公布的《关于四川省有能力回收未被污染输液瓶（袋）企业名单》内企业</w:t>
      </w:r>
    </w:p>
    <w:p>
      <w:pPr>
        <w:pStyle w:val="8"/>
        <w:widowControl/>
        <w:spacing w:line="440" w:lineRule="atLeast"/>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四、服务期限3年（合同一年一签）</w:t>
      </w:r>
    </w:p>
    <w:p>
      <w:pPr>
        <w:pStyle w:val="8"/>
        <w:widowControl/>
        <w:spacing w:line="440" w:lineRule="atLeast"/>
        <w:rPr>
          <w:rFonts w:hint="default" w:ascii="仿宋" w:hAnsi="仿宋" w:eastAsia="仿宋" w:cs="仿宋"/>
          <w:b/>
          <w:bCs/>
          <w:color w:val="000000"/>
          <w:lang w:val="en-US" w:eastAsia="zh-CN"/>
        </w:rPr>
      </w:pPr>
      <w:r>
        <w:rPr>
          <w:rFonts w:hint="eastAsia" w:ascii="仿宋" w:hAnsi="仿宋" w:eastAsia="仿宋" w:cs="仿宋"/>
          <w:b/>
          <w:bCs/>
          <w:color w:val="000000"/>
          <w:lang w:val="en-US" w:eastAsia="zh-CN"/>
        </w:rPr>
        <w:t>五、采购方式：竞争性磋商（综合评分法）.</w:t>
      </w:r>
      <w:bookmarkStart w:id="0" w:name="_GoBack"/>
      <w:bookmarkEnd w:id="0"/>
    </w:p>
    <w:p>
      <w:pPr>
        <w:spacing w:line="400" w:lineRule="exact"/>
        <w:rPr>
          <w:rFonts w:hint="eastAsia" w:ascii="仿宋" w:hAnsi="仿宋" w:eastAsia="仿宋" w:cs="宋体"/>
          <w:b/>
          <w:sz w:val="28"/>
          <w:szCs w:val="28"/>
        </w:rPr>
      </w:pPr>
    </w:p>
    <w:p>
      <w:pPr>
        <w:spacing w:line="400" w:lineRule="exact"/>
        <w:rPr>
          <w:rFonts w:hint="eastAsia" w:ascii="仿宋" w:hAnsi="仿宋" w:eastAsia="仿宋" w:cs="宋体"/>
          <w:b/>
          <w:sz w:val="28"/>
          <w:szCs w:val="28"/>
        </w:rPr>
      </w:pPr>
    </w:p>
    <w:p>
      <w:pPr>
        <w:spacing w:line="400" w:lineRule="exact"/>
        <w:rPr>
          <w:rFonts w:hint="eastAsia" w:ascii="仿宋" w:hAnsi="仿宋" w:eastAsia="仿宋" w:cs="宋体"/>
          <w:b/>
          <w:sz w:val="28"/>
          <w:szCs w:val="28"/>
        </w:rPr>
      </w:pPr>
    </w:p>
    <w:p>
      <w:pPr>
        <w:spacing w:line="400" w:lineRule="exact"/>
        <w:rPr>
          <w:rFonts w:hint="eastAsia" w:ascii="仿宋" w:hAnsi="仿宋" w:eastAsia="仿宋" w:cs="宋体"/>
          <w:b/>
          <w:sz w:val="28"/>
          <w:szCs w:val="28"/>
        </w:rPr>
      </w:pPr>
    </w:p>
    <w:p>
      <w:pPr>
        <w:spacing w:line="400" w:lineRule="exact"/>
        <w:rPr>
          <w:rFonts w:ascii="仿宋" w:hAnsi="仿宋" w:eastAsia="仿宋" w:cs="宋体"/>
          <w:b/>
          <w:sz w:val="28"/>
          <w:szCs w:val="28"/>
        </w:rPr>
      </w:pPr>
      <w:r>
        <w:rPr>
          <w:rFonts w:hint="eastAsia" w:ascii="仿宋" w:hAnsi="仿宋" w:eastAsia="仿宋" w:cs="宋体"/>
          <w:b/>
          <w:sz w:val="28"/>
          <w:szCs w:val="28"/>
        </w:rPr>
        <w:t>综合评分表：</w:t>
      </w:r>
    </w:p>
    <w:tbl>
      <w:tblPr>
        <w:tblStyle w:val="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018"/>
        <w:gridCol w:w="493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评分因素</w:t>
            </w:r>
          </w:p>
        </w:tc>
        <w:tc>
          <w:tcPr>
            <w:tcW w:w="101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权重(分值)</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投标报价</w:t>
            </w:r>
          </w:p>
        </w:tc>
        <w:tc>
          <w:tcPr>
            <w:tcW w:w="101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4935" w:type="dxa"/>
            <w:tcBorders>
              <w:top w:val="single" w:color="auto" w:sz="4" w:space="0"/>
              <w:left w:val="single" w:color="auto" w:sz="4" w:space="0"/>
              <w:bottom w:val="single" w:color="auto" w:sz="4" w:space="0"/>
              <w:right w:val="single" w:color="auto" w:sz="4" w:space="0"/>
            </w:tcBorders>
            <w:vAlign w:val="center"/>
          </w:tcPr>
          <w:p>
            <w:pPr>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满足招标文件要求且投标价格最低的投标报价为评标基准价，其价格分为满分。其他投标人的价格分统一按照 下列公式计算：</w:t>
            </w:r>
          </w:p>
          <w:p>
            <w:pPr>
              <w:numPr>
                <w:ilvl w:val="0"/>
                <w:numId w:val="0"/>
              </w:numPr>
              <w:rPr>
                <w:rFonts w:ascii="仿宋" w:hAnsi="仿宋" w:eastAsia="仿宋"/>
                <w:color w:val="000000"/>
                <w:szCs w:val="21"/>
              </w:rPr>
            </w:pPr>
            <w:r>
              <w:rPr>
                <w:rFonts w:hint="eastAsia" w:ascii="仿宋" w:hAnsi="仿宋" w:eastAsia="仿宋" w:cs="仿宋"/>
                <w:color w:val="000000"/>
                <w:kern w:val="0"/>
                <w:sz w:val="24"/>
                <w:szCs w:val="24"/>
                <w:lang w:val="zh-TW" w:eastAsia="zh-TW" w:bidi="zh-TW"/>
              </w:rPr>
              <w:t>投标报价得分=（评标基准价/投标报价</w:t>
            </w:r>
            <w:r>
              <w:rPr>
                <w:rFonts w:hint="eastAsia" w:ascii="仿宋" w:hAnsi="仿宋" w:eastAsia="仿宋" w:cs="仿宋"/>
                <w:color w:val="000000"/>
                <w:kern w:val="0"/>
                <w:sz w:val="24"/>
                <w:szCs w:val="24"/>
                <w:lang w:bidi="en-US"/>
              </w:rPr>
              <w:t>）</w:t>
            </w:r>
            <w:r>
              <w:rPr>
                <w:rFonts w:hint="eastAsia" w:ascii="仿宋" w:hAnsi="仿宋" w:eastAsia="仿宋" w:cs="仿宋"/>
                <w:color w:val="000000"/>
                <w:kern w:val="0"/>
                <w:sz w:val="24"/>
                <w:szCs w:val="24"/>
                <w:lang w:val="en-US" w:eastAsia="zh-CN" w:bidi="en-US"/>
              </w:rPr>
              <w:t>*</w:t>
            </w:r>
            <w:r>
              <w:rPr>
                <w:rFonts w:hint="eastAsia" w:ascii="仿宋" w:hAnsi="仿宋" w:eastAsia="仿宋" w:cs="仿宋"/>
                <w:color w:val="000000"/>
                <w:kern w:val="0"/>
                <w:sz w:val="24"/>
                <w:szCs w:val="24"/>
                <w:lang w:bidi="en-US"/>
              </w:rPr>
              <w:t>100</w:t>
            </w:r>
            <w:r>
              <w:rPr>
                <w:rFonts w:hint="eastAsia" w:ascii="仿宋" w:hAnsi="仿宋" w:eastAsia="仿宋" w:cs="仿宋"/>
                <w:color w:val="000000"/>
                <w:kern w:val="0"/>
                <w:sz w:val="24"/>
                <w:szCs w:val="24"/>
                <w:lang w:val="en-US" w:eastAsia="zh-CN" w:bidi="en-US"/>
              </w:rPr>
              <w:t>*</w:t>
            </w:r>
            <w:r>
              <w:rPr>
                <w:rFonts w:hint="eastAsia" w:ascii="仿宋" w:hAnsi="仿宋" w:eastAsia="仿宋" w:cs="仿宋"/>
                <w:color w:val="000000"/>
                <w:kern w:val="0"/>
                <w:sz w:val="24"/>
                <w:szCs w:val="24"/>
                <w:lang w:val="zh-TW" w:eastAsia="zh-TW" w:bidi="zh-TW"/>
              </w:rPr>
              <w:t>权重。</w:t>
            </w:r>
            <w:r>
              <w:rPr>
                <w:rFonts w:hint="eastAsia" w:ascii="仿宋" w:hAnsi="仿宋" w:eastAsia="仿宋"/>
                <w:color w:val="000000"/>
                <w:szCs w:val="21"/>
              </w:rPr>
              <w:t>。</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满足政策要求“就近就便”原则</w:t>
            </w:r>
          </w:p>
        </w:tc>
        <w:tc>
          <w:tcPr>
            <w:tcW w:w="101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w:t>
            </w:r>
          </w:p>
        </w:tc>
        <w:tc>
          <w:tcPr>
            <w:tcW w:w="49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color w:val="000000"/>
                <w:szCs w:val="21"/>
              </w:rPr>
              <w:t>四川省卫生健康委员会发布的《关于公布</w:t>
            </w:r>
            <w:r>
              <w:rPr>
                <w:rFonts w:hint="eastAsia" w:ascii="仿宋" w:hAnsi="仿宋" w:eastAsia="仿宋"/>
                <w:szCs w:val="21"/>
              </w:rPr>
              <w:t>四川省有能力回收未被污染输液瓶（袋）企业名单（第一批）</w:t>
            </w:r>
            <w:r>
              <w:rPr>
                <w:rFonts w:hint="eastAsia" w:ascii="仿宋" w:hAnsi="仿宋" w:eastAsia="仿宋"/>
                <w:color w:val="000000"/>
                <w:szCs w:val="21"/>
              </w:rPr>
              <w:t>》要求医疗机构要依照“就近就便”的原则评分标准：</w:t>
            </w:r>
          </w:p>
          <w:p>
            <w:pPr>
              <w:numPr>
                <w:ilvl w:val="0"/>
                <w:numId w:val="1"/>
              </w:numPr>
              <w:rPr>
                <w:rFonts w:ascii="仿宋" w:hAnsi="仿宋" w:eastAsia="仿宋"/>
                <w:color w:val="000000"/>
                <w:szCs w:val="21"/>
              </w:rPr>
            </w:pPr>
            <w:r>
              <w:rPr>
                <w:rFonts w:hint="eastAsia" w:ascii="仿宋" w:hAnsi="仿宋" w:eastAsia="仿宋"/>
                <w:color w:val="000000"/>
                <w:szCs w:val="21"/>
              </w:rPr>
              <w:t>以医院为起点，距投标企业注册地第一近的，得20分。</w:t>
            </w:r>
          </w:p>
          <w:p>
            <w:pPr>
              <w:numPr>
                <w:ilvl w:val="0"/>
                <w:numId w:val="1"/>
              </w:numPr>
              <w:rPr>
                <w:rFonts w:ascii="仿宋" w:hAnsi="仿宋" w:eastAsia="仿宋"/>
                <w:color w:val="000000"/>
                <w:szCs w:val="21"/>
              </w:rPr>
            </w:pPr>
            <w:r>
              <w:rPr>
                <w:rFonts w:hint="eastAsia" w:ascii="仿宋" w:hAnsi="仿宋" w:eastAsia="仿宋"/>
                <w:color w:val="000000"/>
                <w:szCs w:val="21"/>
              </w:rPr>
              <w:t>以医院为起点，距投标企业注册地第二近的，得</w:t>
            </w:r>
            <w:r>
              <w:rPr>
                <w:rFonts w:hint="eastAsia" w:ascii="仿宋" w:hAnsi="仿宋" w:eastAsia="仿宋"/>
                <w:color w:val="000000"/>
                <w:szCs w:val="21"/>
                <w:lang w:val="en-US" w:eastAsia="zh-CN"/>
              </w:rPr>
              <w:t>15</w:t>
            </w:r>
            <w:r>
              <w:rPr>
                <w:rFonts w:hint="eastAsia" w:ascii="仿宋" w:hAnsi="仿宋" w:eastAsia="仿宋"/>
                <w:color w:val="000000"/>
                <w:szCs w:val="21"/>
              </w:rPr>
              <w:t>分。</w:t>
            </w:r>
          </w:p>
          <w:p>
            <w:pPr>
              <w:numPr>
                <w:ilvl w:val="0"/>
                <w:numId w:val="1"/>
              </w:numPr>
              <w:rPr>
                <w:rFonts w:ascii="仿宋" w:hAnsi="仿宋" w:eastAsia="仿宋"/>
                <w:color w:val="000000"/>
                <w:szCs w:val="21"/>
              </w:rPr>
            </w:pPr>
            <w:r>
              <w:rPr>
                <w:rFonts w:hint="eastAsia" w:ascii="仿宋" w:hAnsi="仿宋" w:eastAsia="仿宋"/>
                <w:color w:val="000000"/>
                <w:szCs w:val="21"/>
              </w:rPr>
              <w:t>以医院为起点，距投标企业注册地第三近的，得</w:t>
            </w:r>
            <w:r>
              <w:rPr>
                <w:rFonts w:hint="eastAsia" w:ascii="仿宋" w:hAnsi="仿宋" w:eastAsia="仿宋"/>
                <w:color w:val="000000"/>
                <w:szCs w:val="21"/>
                <w:lang w:val="en-US" w:eastAsia="zh-CN"/>
              </w:rPr>
              <w:t>10</w:t>
            </w:r>
            <w:r>
              <w:rPr>
                <w:rFonts w:hint="eastAsia" w:ascii="仿宋" w:hAnsi="仿宋" w:eastAsia="仿宋"/>
                <w:color w:val="000000"/>
                <w:szCs w:val="21"/>
              </w:rPr>
              <w:t>分。</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4"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 xml:space="preserve">回收服务方案 </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w:t>
            </w:r>
          </w:p>
        </w:tc>
        <w:tc>
          <w:tcPr>
            <w:tcW w:w="4935"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回收时间安排</w:t>
            </w:r>
          </w:p>
          <w:p>
            <w:pPr>
              <w:pStyle w:val="11"/>
              <w:numPr>
                <w:ilvl w:val="1"/>
                <w:numId w:val="3"/>
              </w:numPr>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回收时间安排合理，得</w:t>
            </w:r>
            <w:r>
              <w:rPr>
                <w:rFonts w:hint="eastAsia" w:ascii="仿宋" w:hAnsi="仿宋" w:eastAsia="仿宋" w:cs="宋体"/>
                <w:color w:val="000000" w:themeColor="text1"/>
                <w:szCs w:val="21"/>
                <w:lang w:val="en-US" w:eastAsia="zh-CN"/>
                <w14:textFill>
                  <w14:solidFill>
                    <w14:schemeClr w14:val="tx1"/>
                  </w14:solidFill>
                </w14:textFill>
              </w:rPr>
              <w:t>20</w:t>
            </w:r>
            <w:r>
              <w:rPr>
                <w:rFonts w:hint="eastAsia" w:ascii="仿宋" w:hAnsi="仿宋" w:eastAsia="仿宋" w:cs="宋体"/>
                <w:color w:val="000000" w:themeColor="text1"/>
                <w:szCs w:val="21"/>
                <w14:textFill>
                  <w14:solidFill>
                    <w14:schemeClr w14:val="tx1"/>
                  </w14:solidFill>
                </w14:textFill>
              </w:rPr>
              <w:t>分。</w:t>
            </w:r>
          </w:p>
          <w:p>
            <w:pPr>
              <w:pStyle w:val="11"/>
              <w:numPr>
                <w:ilvl w:val="1"/>
                <w:numId w:val="3"/>
              </w:numPr>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回收时间安排较合理，得1</w:t>
            </w:r>
            <w:r>
              <w:rPr>
                <w:rFonts w:hint="eastAsia" w:ascii="仿宋" w:hAnsi="仿宋" w:eastAsia="仿宋" w:cs="宋体"/>
                <w:color w:val="000000" w:themeColor="text1"/>
                <w:szCs w:val="21"/>
                <w:lang w:val="en-US" w:eastAsia="zh-CN"/>
                <w14:textFill>
                  <w14:solidFill>
                    <w14:schemeClr w14:val="tx1"/>
                  </w14:solidFill>
                </w14:textFill>
              </w:rPr>
              <w:t>5</w:t>
            </w:r>
            <w:r>
              <w:rPr>
                <w:rFonts w:hint="eastAsia" w:ascii="仿宋" w:hAnsi="仿宋" w:eastAsia="仿宋" w:cs="宋体"/>
                <w:color w:val="000000" w:themeColor="text1"/>
                <w:szCs w:val="21"/>
                <w14:textFill>
                  <w14:solidFill>
                    <w14:schemeClr w14:val="tx1"/>
                  </w14:solidFill>
                </w14:textFill>
              </w:rPr>
              <w:t>分。</w:t>
            </w:r>
          </w:p>
          <w:p>
            <w:pPr>
              <w:pStyle w:val="11"/>
              <w:numPr>
                <w:ilvl w:val="1"/>
                <w:numId w:val="3"/>
              </w:numPr>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回收时间安排一般，得</w:t>
            </w:r>
            <w:r>
              <w:rPr>
                <w:rFonts w:hint="eastAsia" w:ascii="仿宋" w:hAnsi="仿宋" w:eastAsia="仿宋" w:cs="宋体"/>
                <w:color w:val="000000" w:themeColor="text1"/>
                <w:szCs w:val="21"/>
                <w:lang w:val="en-US" w:eastAsia="zh-CN"/>
                <w14:textFill>
                  <w14:solidFill>
                    <w14:schemeClr w14:val="tx1"/>
                  </w14:solidFill>
                </w14:textFill>
              </w:rPr>
              <w:t>10</w:t>
            </w:r>
            <w:r>
              <w:rPr>
                <w:rFonts w:hint="eastAsia" w:ascii="仿宋" w:hAnsi="仿宋" w:eastAsia="仿宋" w:cs="宋体"/>
                <w:color w:val="000000" w:themeColor="text1"/>
                <w:szCs w:val="21"/>
                <w14:textFill>
                  <w14:solidFill>
                    <w14:schemeClr w14:val="tx1"/>
                  </w14:solidFill>
                </w14:textFill>
              </w:rPr>
              <w:t>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二、回收安全保障措施（包括车辆、运送人员等）</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1、对回收期间安全保障方案合理，得</w:t>
            </w:r>
            <w:r>
              <w:rPr>
                <w:rFonts w:hint="eastAsia" w:ascii="仿宋" w:hAnsi="仿宋" w:eastAsia="仿宋" w:cs="宋体"/>
                <w:color w:val="000000" w:themeColor="text1"/>
                <w:szCs w:val="21"/>
                <w:lang w:val="en-US" w:eastAsia="zh-CN"/>
                <w14:textFill>
                  <w14:solidFill>
                    <w14:schemeClr w14:val="tx1"/>
                  </w14:solidFill>
                </w14:textFill>
              </w:rPr>
              <w:t>20</w:t>
            </w:r>
            <w:r>
              <w:rPr>
                <w:rFonts w:hint="eastAsia" w:ascii="仿宋" w:hAnsi="仿宋" w:eastAsia="仿宋" w:cs="宋体"/>
                <w:color w:val="000000" w:themeColor="text1"/>
                <w:szCs w:val="21"/>
                <w14:textFill>
                  <w14:solidFill>
                    <w14:schemeClr w14:val="tx1"/>
                  </w14:solidFill>
                </w14:textFill>
              </w:rPr>
              <w:t>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2、对回收期间安全保障方案较合理，得</w:t>
            </w:r>
            <w:r>
              <w:rPr>
                <w:rFonts w:hint="eastAsia" w:ascii="仿宋" w:hAnsi="仿宋" w:eastAsia="仿宋" w:cs="宋体"/>
                <w:color w:val="000000" w:themeColor="text1"/>
                <w:szCs w:val="21"/>
                <w:lang w:val="en-US" w:eastAsia="zh-CN"/>
                <w14:textFill>
                  <w14:solidFill>
                    <w14:schemeClr w14:val="tx1"/>
                  </w14:solidFill>
                </w14:textFill>
              </w:rPr>
              <w:t>15</w:t>
            </w:r>
            <w:r>
              <w:rPr>
                <w:rFonts w:hint="eastAsia" w:ascii="仿宋" w:hAnsi="仿宋" w:eastAsia="仿宋" w:cs="宋体"/>
                <w:color w:val="000000" w:themeColor="text1"/>
                <w:szCs w:val="21"/>
                <w14:textFill>
                  <w14:solidFill>
                    <w14:schemeClr w14:val="tx1"/>
                  </w14:solidFill>
                </w14:textFill>
              </w:rPr>
              <w:t>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3、对回收期间安全保障方案一般，得</w:t>
            </w:r>
            <w:r>
              <w:rPr>
                <w:rFonts w:hint="eastAsia" w:ascii="仿宋" w:hAnsi="仿宋" w:eastAsia="仿宋" w:cs="宋体"/>
                <w:color w:val="000000" w:themeColor="text1"/>
                <w:szCs w:val="21"/>
                <w:lang w:val="en-US" w:eastAsia="zh-CN"/>
                <w14:textFill>
                  <w14:solidFill>
                    <w14:schemeClr w14:val="tx1"/>
                  </w14:solidFill>
                </w14:textFill>
              </w:rPr>
              <w:t>10</w:t>
            </w:r>
            <w:r>
              <w:rPr>
                <w:rFonts w:hint="eastAsia" w:ascii="仿宋" w:hAnsi="仿宋" w:eastAsia="仿宋" w:cs="宋体"/>
                <w:color w:val="000000" w:themeColor="text1"/>
                <w:szCs w:val="21"/>
                <w14:textFill>
                  <w14:solidFill>
                    <w14:schemeClr w14:val="tx1"/>
                  </w14:solidFill>
                </w14:textFill>
              </w:rPr>
              <w:t>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三、紧急回收方案</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1、紧急回收方案优于基本要求得20分。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2、紧急回收方案满足基本要求得10分。</w:t>
            </w:r>
          </w:p>
          <w:p>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3、紧急回收方案不满足基本要求得0分。</w:t>
            </w:r>
          </w:p>
          <w:p>
            <w:pPr>
              <w:rPr>
                <w:rFonts w:ascii="仿宋" w:hAnsi="仿宋" w:eastAsia="仿宋"/>
                <w:color w:val="000000"/>
                <w:szCs w:val="21"/>
              </w:rPr>
            </w:pPr>
            <w:r>
              <w:rPr>
                <w:rFonts w:hint="eastAsia" w:ascii="仿宋" w:hAnsi="仿宋" w:eastAsia="仿宋" w:cs="宋体"/>
                <w:color w:val="000000" w:themeColor="text1"/>
                <w:szCs w:val="21"/>
                <w14:textFill>
                  <w14:solidFill>
                    <w14:schemeClr w14:val="tx1"/>
                  </w14:solidFill>
                </w14:textFill>
              </w:rPr>
              <w:t>招标文件内未提供具体回收方案不得分。</w:t>
            </w: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服务业绩</w:t>
            </w:r>
          </w:p>
        </w:tc>
        <w:tc>
          <w:tcPr>
            <w:tcW w:w="101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9</w:t>
            </w:r>
          </w:p>
        </w:tc>
        <w:tc>
          <w:tcPr>
            <w:tcW w:w="49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color w:val="000000"/>
                <w:szCs w:val="21"/>
              </w:rPr>
              <w:t>提供自20</w:t>
            </w:r>
            <w:r>
              <w:rPr>
                <w:rFonts w:hint="eastAsia" w:ascii="仿宋" w:hAnsi="仿宋" w:eastAsia="仿宋"/>
                <w:color w:val="000000"/>
                <w:szCs w:val="21"/>
                <w:lang w:val="en-US" w:eastAsia="zh-CN"/>
              </w:rPr>
              <w:t>19</w:t>
            </w:r>
            <w:r>
              <w:rPr>
                <w:rFonts w:hint="eastAsia" w:ascii="仿宋" w:hAnsi="仿宋" w:eastAsia="仿宋"/>
                <w:color w:val="000000"/>
                <w:szCs w:val="21"/>
              </w:rPr>
              <w:t>年以来省级医疗单位类似业绩(以合同签订时间为准)，每一份得3分，最多得9分。</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提供合作协议或合同复印件盖鲜章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投标文件规范性</w:t>
            </w:r>
          </w:p>
        </w:tc>
        <w:tc>
          <w:tcPr>
            <w:tcW w:w="101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r>
              <w:rPr>
                <w:rFonts w:hint="eastAsia" w:ascii="仿宋" w:hAnsi="仿宋" w:eastAsia="仿宋"/>
                <w:color w:val="000000"/>
                <w:szCs w:val="21"/>
              </w:rPr>
              <w:t>1</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rPr>
                <w:rFonts w:ascii="仿宋" w:hAnsi="仿宋" w:eastAsia="仿宋"/>
                <w:color w:val="000000"/>
                <w:szCs w:val="21"/>
              </w:rPr>
            </w:pPr>
            <w:r>
              <w:rPr>
                <w:rFonts w:hint="eastAsia" w:ascii="仿宋" w:hAnsi="仿宋" w:eastAsia="仿宋"/>
                <w:color w:val="000000"/>
                <w:szCs w:val="21"/>
              </w:rPr>
              <w:t>响应文件制作规范，没有细微偏差情形的得1分，有一项细微偏差扣0.5分，扣完为止。</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仿宋" w:hAnsi="仿宋" w:eastAsia="仿宋"/>
                <w:color w:val="000000"/>
                <w:szCs w:val="21"/>
              </w:rPr>
            </w:pPr>
          </w:p>
        </w:tc>
      </w:tr>
    </w:tbl>
    <w:p>
      <w:pPr>
        <w:rPr>
          <w:rFonts w:ascii="仿宋" w:hAnsi="仿宋" w:eastAsia="仿宋"/>
          <w:szCs w:val="21"/>
        </w:rPr>
      </w:pPr>
    </w:p>
    <w:p>
      <w:pPr>
        <w:rPr>
          <w:rFonts w:ascii="仿宋" w:hAnsi="仿宋" w:eastAsia="仿宋"/>
          <w:szCs w:val="21"/>
        </w:rPr>
      </w:pPr>
    </w:p>
    <w:p>
      <w:pPr>
        <w:pStyle w:val="5"/>
        <w:rPr>
          <w:rFonts w:hint="eastAsia" w:ascii="仿宋" w:hAnsi="仿宋" w:eastAsia="仿宋"/>
          <w:b/>
          <w:bCs/>
          <w:sz w:val="28"/>
          <w:szCs w:val="28"/>
        </w:rPr>
      </w:pPr>
    </w:p>
    <w:p>
      <w:pPr>
        <w:pStyle w:val="5"/>
        <w:rPr>
          <w:rFonts w:hint="eastAsia" w:ascii="仿宋" w:hAnsi="仿宋" w:eastAsia="仿宋"/>
          <w:b/>
          <w:bCs/>
          <w:sz w:val="28"/>
          <w:szCs w:val="28"/>
          <w:lang w:val="en-US" w:eastAsia="zh-CN"/>
        </w:rPr>
      </w:pPr>
      <w:r>
        <w:rPr>
          <w:rFonts w:hint="eastAsia" w:ascii="仿宋" w:hAnsi="仿宋" w:eastAsia="仿宋"/>
          <w:b/>
          <w:bCs/>
          <w:sz w:val="28"/>
          <w:szCs w:val="28"/>
        </w:rPr>
        <w:t xml:space="preserve">附件 </w:t>
      </w:r>
      <w:r>
        <w:rPr>
          <w:rFonts w:hint="eastAsia" w:ascii="仿宋" w:hAnsi="仿宋" w:eastAsia="仿宋"/>
          <w:b/>
          <w:bCs/>
          <w:sz w:val="28"/>
          <w:szCs w:val="28"/>
          <w:lang w:val="en-US" w:eastAsia="zh-CN"/>
        </w:rPr>
        <w:t>二</w:t>
      </w:r>
    </w:p>
    <w:p>
      <w:pPr>
        <w:spacing w:line="400" w:lineRule="exact"/>
        <w:rPr>
          <w:rFonts w:hint="eastAsia" w:ascii="仿宋" w:hAnsi="仿宋" w:eastAsia="仿宋" w:cs="仿宋"/>
          <w:b/>
          <w:bCs/>
          <w:sz w:val="24"/>
        </w:rPr>
      </w:pPr>
      <w:r>
        <w:rPr>
          <w:rFonts w:hint="eastAsia" w:ascii="仿宋" w:hAnsi="仿宋" w:eastAsia="仿宋"/>
          <w:b/>
          <w:bCs/>
          <w:sz w:val="28"/>
          <w:szCs w:val="28"/>
        </w:rPr>
        <w:t xml:space="preserve">                 </w:t>
      </w:r>
    </w:p>
    <w:p>
      <w:pPr>
        <w:spacing w:line="400" w:lineRule="exact"/>
        <w:rPr>
          <w:rFonts w:hint="eastAsia" w:ascii="仿宋" w:hAnsi="仿宋" w:eastAsia="仿宋" w:cs="仿宋"/>
          <w:b/>
          <w:bCs/>
          <w:sz w:val="24"/>
        </w:rPr>
      </w:pPr>
    </w:p>
    <w:p>
      <w:pPr>
        <w:spacing w:line="0" w:lineRule="atLeast"/>
        <w:jc w:val="center"/>
        <w:rPr>
          <w:rFonts w:hint="eastAsia" w:ascii="仿宋" w:hAnsi="仿宋" w:eastAsia="仿宋" w:cs="仿宋"/>
          <w:sz w:val="28"/>
        </w:rPr>
      </w:pPr>
      <w:r>
        <w:rPr>
          <w:rFonts w:hint="eastAsia" w:ascii="仿宋" w:hAnsi="仿宋" w:eastAsia="仿宋" w:cs="仿宋"/>
          <w:b/>
          <w:bCs/>
          <w:sz w:val="28"/>
          <w:szCs w:val="28"/>
        </w:rPr>
        <w:t>报价一览表</w:t>
      </w:r>
      <w:r>
        <w:rPr>
          <w:rFonts w:hint="eastAsia" w:ascii="仿宋" w:hAnsi="仿宋" w:eastAsia="仿宋" w:cs="仿宋"/>
          <w:sz w:val="24"/>
        </w:rPr>
        <w:t xml:space="preserve"> </w:t>
      </w:r>
      <w:r>
        <w:rPr>
          <w:rFonts w:hint="eastAsia" w:ascii="仿宋" w:hAnsi="仿宋" w:eastAsia="仿宋" w:cs="仿宋"/>
          <w:sz w:val="28"/>
        </w:rPr>
        <w:t xml:space="preserve">                    </w:t>
      </w:r>
    </w:p>
    <w:tbl>
      <w:tblPr>
        <w:tblStyle w:val="9"/>
        <w:tblW w:w="7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114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2"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序号</w:t>
            </w:r>
          </w:p>
        </w:tc>
        <w:tc>
          <w:tcPr>
            <w:tcW w:w="1278" w:type="dxa"/>
            <w:vAlign w:val="center"/>
          </w:tcPr>
          <w:p>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每公斤输液袋（瓶）单价</w:t>
            </w:r>
          </w:p>
        </w:tc>
        <w:tc>
          <w:tcPr>
            <w:tcW w:w="114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数量</w:t>
            </w:r>
          </w:p>
        </w:tc>
        <w:tc>
          <w:tcPr>
            <w:tcW w:w="136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总价</w:t>
            </w:r>
          </w:p>
        </w:tc>
        <w:tc>
          <w:tcPr>
            <w:tcW w:w="2508"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bl>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1.报价应是最终用户验收合格后的总价，包括现场调研、设计等在内的方案设计相关的所有费用和税费。 </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2.“报价一览表”为多页的，每页均需由法定代表人或授权代表签字并盖投标人印章。</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3.备注栏为供应商认为必要的说明事项。</w:t>
      </w:r>
    </w:p>
    <w:p>
      <w:pPr>
        <w:spacing w:line="400" w:lineRule="exact"/>
        <w:ind w:firstLine="560" w:firstLineChars="200"/>
        <w:jc w:val="left"/>
        <w:rPr>
          <w:rFonts w:hint="eastAsia" w:ascii="仿宋" w:hAnsi="仿宋" w:eastAsia="仿宋" w:cs="仿宋"/>
          <w:sz w:val="28"/>
          <w:szCs w:val="28"/>
        </w:rPr>
      </w:pP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公司名称：</w:t>
      </w:r>
      <w:r>
        <w:rPr>
          <w:rFonts w:hint="eastAsia" w:ascii="仿宋" w:hAnsi="仿宋" w:eastAsia="仿宋" w:cs="仿宋"/>
          <w:bCs/>
          <w:sz w:val="28"/>
          <w:szCs w:val="28"/>
          <w:u w:val="single"/>
        </w:rPr>
        <w:t xml:space="preserve">                                </w:t>
      </w: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代表签字：</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联系方式：</w:t>
      </w:r>
      <w:r>
        <w:rPr>
          <w:rFonts w:hint="eastAsia" w:ascii="仿宋" w:hAnsi="仿宋" w:eastAsia="仿宋" w:cs="仿宋"/>
          <w:bCs/>
          <w:sz w:val="28"/>
          <w:szCs w:val="28"/>
          <w:u w:val="single"/>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日期：</w:t>
      </w:r>
    </w:p>
    <w:p>
      <w:pPr>
        <w:spacing w:line="400" w:lineRule="exact"/>
        <w:rPr>
          <w:rFonts w:hint="eastAsia" w:ascii="仿宋" w:hAnsi="仿宋" w:eastAsia="仿宋" w:cs="仿宋"/>
          <w:sz w:val="28"/>
          <w:szCs w:val="28"/>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9"/>
        <w:tblW w:w="7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vAlign w:val="top"/>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vAlign w:val="top"/>
          </w:tcPr>
          <w:p>
            <w:pPr>
              <w:jc w:val="center"/>
              <w:rPr>
                <w:rFonts w:ascii="仿宋_GB2312" w:eastAsia="仿宋_GB2312"/>
                <w:sz w:val="32"/>
                <w:szCs w:val="32"/>
              </w:rPr>
            </w:pPr>
            <w:r>
              <w:rPr>
                <w:rFonts w:hint="eastAsia" w:ascii="仿宋_GB2312" w:eastAsia="仿宋_GB2312"/>
                <w:sz w:val="32"/>
                <w:szCs w:val="32"/>
              </w:rPr>
              <w:t>数量</w:t>
            </w:r>
          </w:p>
        </w:tc>
        <w:tc>
          <w:tcPr>
            <w:tcW w:w="1770" w:type="dxa"/>
            <w:vAlign w:val="top"/>
          </w:tcPr>
          <w:p>
            <w:pPr>
              <w:rPr>
                <w:rFonts w:ascii="仿宋_GB2312" w:eastAsia="仿宋_GB2312"/>
                <w:sz w:val="32"/>
                <w:szCs w:val="32"/>
              </w:rPr>
            </w:pPr>
            <w:r>
              <w:rPr>
                <w:rFonts w:hint="eastAsia" w:ascii="仿宋_GB2312" w:eastAsia="仿宋_GB2312"/>
                <w:sz w:val="32"/>
                <w:szCs w:val="32"/>
              </w:rPr>
              <w:t>合同签订日期</w:t>
            </w:r>
          </w:p>
        </w:tc>
        <w:tc>
          <w:tcPr>
            <w:tcW w:w="1260" w:type="dxa"/>
            <w:vAlign w:val="top"/>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jc w:val="center"/>
              <w:rPr>
                <w:rFonts w:ascii="仿宋_GB2312" w:eastAsia="仿宋_GB2312"/>
                <w:sz w:val="32"/>
                <w:szCs w:val="32"/>
              </w:rPr>
            </w:pPr>
          </w:p>
        </w:tc>
        <w:tc>
          <w:tcPr>
            <w:tcW w:w="1110" w:type="dxa"/>
            <w:vAlign w:val="top"/>
          </w:tcPr>
          <w:p>
            <w:pPr>
              <w:jc w:val="center"/>
              <w:rPr>
                <w:rFonts w:ascii="仿宋_GB2312" w:eastAsia="仿宋_GB2312"/>
                <w:sz w:val="32"/>
                <w:szCs w:val="32"/>
              </w:rPr>
            </w:pPr>
          </w:p>
        </w:tc>
        <w:tc>
          <w:tcPr>
            <w:tcW w:w="1770" w:type="dxa"/>
            <w:vAlign w:val="top"/>
          </w:tcPr>
          <w:p>
            <w:pPr>
              <w:jc w:val="center"/>
              <w:rPr>
                <w:rFonts w:ascii="仿宋_GB2312" w:eastAsia="仿宋_GB2312"/>
                <w:sz w:val="32"/>
                <w:szCs w:val="32"/>
              </w:rPr>
            </w:pPr>
          </w:p>
        </w:tc>
        <w:tc>
          <w:tcPr>
            <w:tcW w:w="1260" w:type="dxa"/>
            <w:vAlign w:val="top"/>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jc w:val="center"/>
              <w:rPr>
                <w:rFonts w:ascii="仿宋_GB2312" w:eastAsia="仿宋_GB2312"/>
                <w:sz w:val="32"/>
                <w:szCs w:val="32"/>
              </w:rPr>
            </w:pPr>
          </w:p>
        </w:tc>
        <w:tc>
          <w:tcPr>
            <w:tcW w:w="1110" w:type="dxa"/>
            <w:vAlign w:val="top"/>
          </w:tcPr>
          <w:p>
            <w:pPr>
              <w:jc w:val="center"/>
              <w:rPr>
                <w:rFonts w:ascii="仿宋_GB2312" w:eastAsia="仿宋_GB2312"/>
                <w:sz w:val="32"/>
                <w:szCs w:val="32"/>
              </w:rPr>
            </w:pPr>
          </w:p>
        </w:tc>
        <w:tc>
          <w:tcPr>
            <w:tcW w:w="1770" w:type="dxa"/>
            <w:vAlign w:val="top"/>
          </w:tcPr>
          <w:p>
            <w:pPr>
              <w:jc w:val="center"/>
              <w:rPr>
                <w:rFonts w:ascii="仿宋_GB2312" w:eastAsia="仿宋_GB2312"/>
                <w:sz w:val="32"/>
                <w:szCs w:val="32"/>
              </w:rPr>
            </w:pPr>
          </w:p>
        </w:tc>
        <w:tc>
          <w:tcPr>
            <w:tcW w:w="1260" w:type="dxa"/>
            <w:vAlign w:val="top"/>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bl>
    <w:p>
      <w:pPr>
        <w:rPr>
          <w:rFonts w:hint="eastAsia"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4"/>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5"/>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rPr>
          <w:rFonts w:hint="eastAsia"/>
          <w:lang w:val="en-US" w:eastAsia="zh-CN"/>
        </w:rPr>
      </w:pP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5"/>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3</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5、组织机构代码证、税务登记证（复印件）（或三证合一），营业执照经营范围需包含中央空调清洗、消毒、维修或机电设备安装工程；</w:t>
      </w:r>
    </w:p>
    <w:p>
      <w:pPr>
        <w:spacing w:line="240"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6、法定代表人授权书、暨经办人授权书，法人、经办人身份证（复印件）</w:t>
      </w:r>
      <w:r>
        <w:rPr>
          <w:rFonts w:hint="eastAsia" w:ascii="仿宋_GB2312" w:eastAsia="仿宋_GB2312"/>
          <w:sz w:val="32"/>
          <w:szCs w:val="32"/>
          <w:lang w:val="en-US" w:eastAsia="zh-CN"/>
        </w:rPr>
        <w:t>及其他资质要求；</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eastAsia="仿宋_GB2312"/>
          <w:sz w:val="32"/>
          <w:szCs w:val="32"/>
          <w:lang w:eastAsia="zh-CN"/>
        </w:rPr>
      </w:pPr>
      <w:r>
        <w:rPr>
          <w:rFonts w:hint="eastAsia" w:ascii="仿宋_GB2312" w:hAnsi="宋体" w:eastAsia="仿宋_GB2312"/>
          <w:bCs/>
          <w:sz w:val="32"/>
          <w:szCs w:val="32"/>
        </w:rPr>
        <w:t>8、</w:t>
      </w:r>
      <w:r>
        <w:rPr>
          <w:rFonts w:hint="eastAsia" w:ascii="仿宋_GB2312" w:eastAsia="仿宋_GB2312"/>
          <w:sz w:val="32"/>
          <w:szCs w:val="32"/>
        </w:rPr>
        <w:t>设计规范或标准</w:t>
      </w:r>
      <w:r>
        <w:rPr>
          <w:rFonts w:hint="eastAsia" w:ascii="仿宋_GB2312" w:eastAsia="仿宋_GB2312"/>
          <w:sz w:val="32"/>
          <w:szCs w:val="32"/>
          <w:lang w:eastAsia="zh-CN"/>
        </w:rPr>
        <w:t>（</w:t>
      </w:r>
      <w:r>
        <w:rPr>
          <w:rFonts w:hint="eastAsia" w:ascii="仿宋_GB2312" w:eastAsia="仿宋_GB2312"/>
          <w:sz w:val="32"/>
          <w:szCs w:val="32"/>
          <w:lang w:val="en-US" w:eastAsia="zh-CN"/>
        </w:rPr>
        <w:t>如有</w:t>
      </w:r>
      <w:r>
        <w:rPr>
          <w:rFonts w:hint="eastAsia" w:ascii="仿宋_GB2312" w:eastAsia="仿宋_GB2312"/>
          <w:sz w:val="32"/>
          <w:szCs w:val="32"/>
          <w:lang w:eastAsia="zh-CN"/>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w:t>
      </w:r>
      <w:r>
        <w:rPr>
          <w:rFonts w:hint="eastAsia" w:ascii="仿宋_GB2312" w:eastAsia="仿宋_GB2312"/>
          <w:sz w:val="32"/>
          <w:szCs w:val="32"/>
          <w:lang w:val="en-US" w:eastAsia="zh-CN"/>
        </w:rPr>
        <w:t>2</w:t>
      </w:r>
      <w:r>
        <w:rPr>
          <w:rFonts w:hint="eastAsia" w:ascii="仿宋_GB2312" w:eastAsia="仿宋_GB2312"/>
          <w:sz w:val="32"/>
          <w:szCs w:val="32"/>
        </w:rPr>
        <w:t>）。</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rPr>
          <w:rFonts w:hint="eastAsia" w:ascii="仿宋_GB2312" w:eastAsia="仿宋_GB2312"/>
          <w:b/>
          <w:bCs/>
          <w:sz w:val="32"/>
          <w:szCs w:val="32"/>
        </w:rPr>
      </w:pPr>
    </w:p>
    <w:p>
      <w:pPr>
        <w:tabs>
          <w:tab w:val="left" w:pos="6645"/>
        </w:tabs>
        <w:spacing w:line="360" w:lineRule="auto"/>
        <w:rPr>
          <w:rFonts w:ascii="仿宋_GB2312" w:hAnsi="宋体" w:eastAsia="仿宋_GB2312"/>
          <w:b/>
          <w:bCs/>
          <w:sz w:val="32"/>
          <w:szCs w:val="32"/>
        </w:rPr>
      </w:pPr>
      <w:r>
        <w:rPr>
          <w:rFonts w:hint="eastAsia" w:ascii="仿宋_GB2312" w:hAnsi="宋体" w:eastAsia="仿宋_GB2312"/>
          <w:b/>
          <w:bCs/>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本《承诺书》一式三份（一份由承诺人自存；一份随竞价书传递）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Pr>
        <w:spacing w:line="400" w:lineRule="exact"/>
        <w:rPr>
          <w:rFonts w:hint="eastAsia" w:ascii="仿宋" w:hAnsi="仿宋" w:eastAsia="仿宋" w:cs="仿宋"/>
          <w:sz w:val="28"/>
          <w:szCs w:val="28"/>
        </w:rPr>
      </w:pPr>
    </w:p>
    <w:p>
      <w:pPr>
        <w:spacing w:line="0" w:lineRule="atLeast"/>
        <w:jc w:val="center"/>
        <w:rPr>
          <w:rFonts w:hint="eastAsia" w:ascii="仿宋" w:hAnsi="仿宋" w:eastAsia="仿宋" w:cs="仿宋"/>
          <w:b/>
          <w:bCs/>
          <w:sz w:val="28"/>
          <w:szCs w:val="28"/>
        </w:rPr>
      </w:pPr>
    </w:p>
    <w:p>
      <w:pPr>
        <w:spacing w:line="0" w:lineRule="atLeast"/>
        <w:jc w:val="center"/>
        <w:rPr>
          <w:rFonts w:hint="eastAsia" w:ascii="仿宋" w:hAnsi="仿宋" w:eastAsia="仿宋" w:cs="仿宋"/>
          <w:b/>
          <w:bCs/>
          <w:sz w:val="28"/>
          <w:szCs w:val="28"/>
        </w:rPr>
      </w:pPr>
    </w:p>
    <w:p>
      <w:pPr>
        <w:rPr>
          <w:szCs w:val="28"/>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F86FC9-AA11-4EF8-A323-21168BAE7C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998ED3-D1E0-4EC5-936F-94B1BA0A29D8}"/>
  </w:font>
  <w:font w:name="仿宋">
    <w:panose1 w:val="02010609060101010101"/>
    <w:charset w:val="86"/>
    <w:family w:val="modern"/>
    <w:pitch w:val="default"/>
    <w:sig w:usb0="800002BF" w:usb1="38CF7CFA" w:usb2="00000016" w:usb3="00000000" w:csb0="00040001" w:csb1="00000000"/>
    <w:embedRegular r:id="rId3" w:fontKey="{680CC038-2B91-46B4-B0A5-7C60899B59F5}"/>
  </w:font>
  <w:font w:name="方正小标宋简体">
    <w:panose1 w:val="02000000000000000000"/>
    <w:charset w:val="86"/>
    <w:family w:val="auto"/>
    <w:pitch w:val="default"/>
    <w:sig w:usb0="00000001" w:usb1="08000000" w:usb2="00000000" w:usb3="00000000" w:csb0="00040000" w:csb1="00000000"/>
    <w:embedRegular r:id="rId4" w:fontKey="{C7617D12-0571-4C72-8C27-E76950DEE38D}"/>
  </w:font>
  <w:font w:name="楷体">
    <w:panose1 w:val="02010609060101010101"/>
    <w:charset w:val="86"/>
    <w:family w:val="auto"/>
    <w:pitch w:val="default"/>
    <w:sig w:usb0="800002BF" w:usb1="38CF7CFA" w:usb2="00000016" w:usb3="00000000" w:csb0="00040001" w:csb1="00000000"/>
    <w:embedRegular r:id="rId5" w:fontKey="{DC924AF4-2164-4FC2-94F7-3161E250655F}"/>
  </w:font>
  <w:font w:name="仿宋_GB2312">
    <w:altName w:val="仿宋"/>
    <w:panose1 w:val="00000000000000000000"/>
    <w:charset w:val="86"/>
    <w:family w:val="modern"/>
    <w:pitch w:val="default"/>
    <w:sig w:usb0="00000000" w:usb1="00000000" w:usb2="00000010" w:usb3="00000000" w:csb0="00040000" w:csb1="00000000"/>
    <w:embedRegular r:id="rId6" w:fontKey="{81A9DE44-CC18-4D42-B51D-54B9EB46A70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B2525"/>
    <w:multiLevelType w:val="singleLevel"/>
    <w:tmpl w:val="D38B2525"/>
    <w:lvl w:ilvl="0" w:tentative="0">
      <w:start w:val="1"/>
      <w:numFmt w:val="chineseCounting"/>
      <w:suff w:val="nothing"/>
      <w:lvlText w:val="%1、"/>
      <w:lvlJc w:val="left"/>
      <w:rPr>
        <w:rFonts w:hint="eastAsia"/>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2">
    <w:nsid w:val="65BFD0CB"/>
    <w:multiLevelType w:val="singleLevel"/>
    <w:tmpl w:val="65BFD0CB"/>
    <w:lvl w:ilvl="0" w:tentative="0">
      <w:start w:val="1"/>
      <w:numFmt w:val="decimal"/>
      <w:suff w:val="nothing"/>
      <w:lvlText w:val="%1、"/>
      <w:lvlJc w:val="left"/>
    </w:lvl>
  </w:abstractNum>
  <w:abstractNum w:abstractNumId="3">
    <w:nsid w:val="6886215B"/>
    <w:multiLevelType w:val="multilevel"/>
    <w:tmpl w:val="6886215B"/>
    <w:lvl w:ilvl="0" w:tentative="0">
      <w:start w:val="1"/>
      <w:numFmt w:val="chineseCountingThousand"/>
      <w:lvlText w:val="%1、"/>
      <w:lvlJc w:val="left"/>
      <w:pPr>
        <w:tabs>
          <w:tab w:val="left" w:pos="420"/>
        </w:tabs>
        <w:ind w:left="420" w:hanging="420"/>
      </w:pPr>
      <w:rPr>
        <w:rFonts w:cs="Times New Roman"/>
        <w:b/>
        <w:bCs/>
        <w:i w:val="0"/>
        <w:iCs w:val="0"/>
      </w:rPr>
    </w:lvl>
    <w:lvl w:ilvl="1" w:tentative="0">
      <w:start w:val="1"/>
      <w:numFmt w:val="decimal"/>
      <w:lvlText w:val="%2、"/>
      <w:lvlJc w:val="left"/>
      <w:pPr>
        <w:tabs>
          <w:tab w:val="left" w:pos="360"/>
        </w:tabs>
        <w:ind w:left="360" w:hanging="360"/>
      </w:pPr>
      <w:rPr>
        <w:rFonts w:cs="Times New Roman"/>
        <w:b/>
        <w:bCs/>
        <w:i w:val="0"/>
        <w:iCs w:val="0"/>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D2B460E"/>
    <w:rsid w:val="415F6E9E"/>
    <w:rsid w:val="502A1551"/>
    <w:rsid w:val="596E13BC"/>
    <w:rsid w:val="62E97EEA"/>
    <w:rsid w:val="6B2570A6"/>
    <w:rsid w:val="7D14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Normal Indent"/>
    <w:basedOn w:val="1"/>
    <w:qFormat/>
    <w:uiPriority w:val="0"/>
    <w:pPr>
      <w:ind w:firstLine="420" w:firstLineChars="200"/>
    </w:pPr>
  </w:style>
  <w:style w:type="paragraph" w:styleId="5">
    <w:name w:val="Body Text"/>
    <w:basedOn w:val="1"/>
    <w:next w:val="6"/>
    <w:qFormat/>
    <w:uiPriority w:val="0"/>
    <w:pPr>
      <w:widowControl/>
      <w:spacing w:after="120"/>
      <w:jc w:val="left"/>
    </w:pPr>
    <w:rPr>
      <w:rFonts w:asciiTheme="minorHAnsi" w:hAnsiTheme="minorHAnsi" w:eastAsiaTheme="minorEastAsia" w:cstheme="minorBidi"/>
      <w:kern w:val="0"/>
      <w:sz w:val="24"/>
    </w:rPr>
  </w:style>
  <w:style w:type="paragraph" w:styleId="6">
    <w:name w:val="Body Text First Indent"/>
    <w:basedOn w:val="5"/>
    <w:qFormat/>
    <w:uiPriority w:val="0"/>
    <w:pPr>
      <w:ind w:firstLine="420" w:firstLineChars="100"/>
    </w:pPr>
    <w:rPr>
      <w:rFonts w:ascii="Calibri" w:hAnsi="Calibri"/>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3420</Words>
  <Characters>3484</Characters>
  <Lines>0</Lines>
  <Paragraphs>0</Paragraphs>
  <TotalTime>14</TotalTime>
  <ScaleCrop>false</ScaleCrop>
  <LinksUpToDate>false</LinksUpToDate>
  <CharactersWithSpaces>3823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罗珊珊</cp:lastModifiedBy>
  <dcterms:modified xsi:type="dcterms:W3CDTF">2022-06-06T01:33:46Z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0292C600E47D4C7CB4F196BD1BB03001</vt:lpwstr>
  </property>
</Properties>
</file>