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附件1：采购项目配置需求</w:t>
      </w:r>
    </w:p>
    <w:p>
      <w:pPr>
        <w:pStyle w:val="3"/>
        <w:keepNext w:val="0"/>
        <w:keepLines w:val="0"/>
        <w:spacing w:before="0" w:after="0" w:line="360" w:lineRule="auto"/>
        <w:ind w:firstLine="118" w:firstLineChars="49"/>
        <w:jc w:val="left"/>
        <w:rPr>
          <w:rFonts w:ascii="宋体" w:hAnsi="宋体" w:eastAsia="宋体" w:cs="仿宋"/>
          <w:bCs w:val="0"/>
          <w:sz w:val="24"/>
          <w:szCs w:val="24"/>
        </w:rPr>
      </w:pPr>
    </w:p>
    <w:p>
      <w:pPr>
        <w:pStyle w:val="3"/>
        <w:keepNext w:val="0"/>
        <w:keepLines w:val="0"/>
        <w:spacing w:before="0" w:after="0" w:line="360" w:lineRule="auto"/>
        <w:ind w:firstLine="472" w:firstLineChars="196"/>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pacing w:after="0" w:line="360" w:lineRule="auto"/>
        <w:ind w:firstLine="236" w:firstLineChars="98"/>
        <w:rPr>
          <w:rFonts w:ascii="宋体" w:hAnsi="宋体" w:eastAsia="宋体" w:cs="仿宋"/>
          <w:sz w:val="24"/>
          <w:szCs w:val="24"/>
        </w:rPr>
      </w:pPr>
      <w:bookmarkStart w:id="0" w:name="_Toc217446094"/>
      <w:r>
        <w:rPr>
          <w:rFonts w:hint="eastAsia" w:ascii="宋体" w:hAnsi="宋体" w:eastAsia="宋体" w:cs="仿宋"/>
          <w:sz w:val="24"/>
          <w:szCs w:val="24"/>
        </w:rPr>
        <w:t xml:space="preserve">一、 </w:t>
      </w:r>
      <w:bookmarkEnd w:id="0"/>
      <w:r>
        <w:rPr>
          <w:rFonts w:hint="eastAsia" w:ascii="宋体" w:hAnsi="宋体" w:eastAsia="宋体" w:cs="仿宋"/>
          <w:sz w:val="24"/>
          <w:szCs w:val="24"/>
        </w:rPr>
        <w:t>项目清单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185"/>
        <w:gridCol w:w="1368"/>
        <w:gridCol w:w="3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序号</w:t>
            </w:r>
          </w:p>
        </w:tc>
        <w:tc>
          <w:tcPr>
            <w:tcW w:w="3185"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材料</w:t>
            </w:r>
            <w:r>
              <w:rPr>
                <w:rFonts w:ascii="宋体" w:hAnsi="宋体" w:cs="仿宋"/>
                <w:kern w:val="0"/>
                <w:sz w:val="22"/>
              </w:rPr>
              <w:t>名称</w:t>
            </w:r>
          </w:p>
        </w:tc>
        <w:tc>
          <w:tcPr>
            <w:tcW w:w="1368"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预估年度</w:t>
            </w:r>
          </w:p>
          <w:p>
            <w:pPr>
              <w:widowControl/>
              <w:spacing w:line="360" w:lineRule="auto"/>
              <w:jc w:val="center"/>
              <w:rPr>
                <w:rFonts w:ascii="宋体" w:hAnsi="宋体" w:cs="仿宋"/>
                <w:kern w:val="0"/>
                <w:sz w:val="22"/>
              </w:rPr>
            </w:pPr>
            <w:r>
              <w:rPr>
                <w:rFonts w:hint="eastAsia" w:ascii="宋体" w:hAnsi="宋体" w:cs="仿宋"/>
                <w:kern w:val="0"/>
                <w:sz w:val="22"/>
              </w:rPr>
              <w:t>测试数</w:t>
            </w:r>
          </w:p>
        </w:tc>
        <w:tc>
          <w:tcPr>
            <w:tcW w:w="3836"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1</w:t>
            </w:r>
          </w:p>
        </w:tc>
        <w:tc>
          <w:tcPr>
            <w:tcW w:w="3185"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革兰阳性菌鉴定及药敏板</w:t>
            </w:r>
          </w:p>
        </w:tc>
        <w:tc>
          <w:tcPr>
            <w:tcW w:w="1368"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500测试</w:t>
            </w:r>
          </w:p>
        </w:tc>
        <w:tc>
          <w:tcPr>
            <w:tcW w:w="3836" w:type="dxa"/>
            <w:vMerge w:val="restart"/>
            <w:vAlign w:val="center"/>
          </w:tcPr>
          <w:p>
            <w:pPr>
              <w:widowControl/>
              <w:spacing w:line="360" w:lineRule="auto"/>
              <w:rPr>
                <w:rFonts w:ascii="宋体" w:hAnsi="宋体" w:cs="仿宋"/>
                <w:kern w:val="0"/>
                <w:sz w:val="22"/>
              </w:rPr>
            </w:pPr>
            <w:r>
              <w:rPr>
                <w:rFonts w:hint="eastAsia" w:ascii="宋体" w:hAnsi="宋体" w:cs="仿宋"/>
                <w:kern w:val="0"/>
                <w:sz w:val="22"/>
              </w:rPr>
              <w:t>供应商应根据检测项目及其配套设备运行所需的辅助试剂和耗材，</w:t>
            </w:r>
            <w:r>
              <w:rPr>
                <w:rFonts w:hint="eastAsia" w:ascii="宋体"/>
                <w:color w:val="000000"/>
                <w:sz w:val="24"/>
              </w:rPr>
              <w:t>并结合自身产品规格型号和采购人辅助试剂和耗材的</w:t>
            </w:r>
            <w:r>
              <w:rPr>
                <w:rFonts w:hint="eastAsia" w:ascii="宋体" w:hAnsi="宋体" w:cs="仿宋"/>
                <w:kern w:val="0"/>
                <w:sz w:val="22"/>
              </w:rPr>
              <w:t>预估年度检测人份</w:t>
            </w:r>
            <w:r>
              <w:rPr>
                <w:rFonts w:hint="eastAsia" w:ascii="宋体"/>
                <w:color w:val="000000"/>
                <w:sz w:val="24"/>
              </w:rPr>
              <w:t>，进行产品使用数量预估，并报价，最终以实际使用数量进行结算。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2</w:t>
            </w:r>
          </w:p>
        </w:tc>
        <w:tc>
          <w:tcPr>
            <w:tcW w:w="3185"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革兰阴性菌鉴定及药敏板</w:t>
            </w:r>
          </w:p>
        </w:tc>
        <w:tc>
          <w:tcPr>
            <w:tcW w:w="1368"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560测试</w:t>
            </w:r>
          </w:p>
        </w:tc>
        <w:tc>
          <w:tcPr>
            <w:tcW w:w="3836" w:type="dxa"/>
            <w:vMerge w:val="continue"/>
            <w:vAlign w:val="center"/>
          </w:tcPr>
          <w:p>
            <w:pPr>
              <w:widowControl/>
              <w:spacing w:line="360" w:lineRule="auto"/>
              <w:jc w:val="center"/>
              <w:rPr>
                <w:rFonts w:ascii="宋体" w:hAnsi="宋体"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3</w:t>
            </w:r>
          </w:p>
        </w:tc>
        <w:tc>
          <w:tcPr>
            <w:tcW w:w="3185" w:type="dxa"/>
            <w:vAlign w:val="center"/>
          </w:tcPr>
          <w:p>
            <w:pPr>
              <w:widowControl/>
              <w:spacing w:line="360" w:lineRule="auto"/>
              <w:jc w:val="center"/>
              <w:rPr>
                <w:rFonts w:hint="eastAsia" w:ascii="宋体" w:hAnsi="宋体" w:cs="仿宋"/>
                <w:kern w:val="0"/>
                <w:sz w:val="22"/>
              </w:rPr>
            </w:pPr>
            <w:r>
              <w:rPr>
                <w:rFonts w:hint="eastAsia" w:ascii="宋体" w:hAnsi="宋体" w:cs="仿宋"/>
                <w:kern w:val="0"/>
                <w:sz w:val="22"/>
              </w:rPr>
              <w:t>其他鉴定及药敏试剂盒</w:t>
            </w:r>
          </w:p>
          <w:p>
            <w:pPr>
              <w:widowControl/>
              <w:spacing w:line="360" w:lineRule="auto"/>
              <w:jc w:val="center"/>
              <w:rPr>
                <w:rFonts w:ascii="宋体" w:hAnsi="宋体" w:cs="仿宋"/>
                <w:kern w:val="0"/>
                <w:sz w:val="22"/>
                <w:highlight w:val="yellow"/>
              </w:rPr>
            </w:pPr>
            <w:r>
              <w:rPr>
                <w:rFonts w:hint="eastAsia" w:ascii="宋体" w:hAnsi="宋体" w:cs="仿宋"/>
                <w:kern w:val="0"/>
                <w:sz w:val="22"/>
              </w:rPr>
              <w:t>（若有，请报价）</w:t>
            </w:r>
          </w:p>
        </w:tc>
        <w:tc>
          <w:tcPr>
            <w:tcW w:w="1368"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0测试</w:t>
            </w:r>
          </w:p>
        </w:tc>
        <w:tc>
          <w:tcPr>
            <w:tcW w:w="3836" w:type="dxa"/>
            <w:vMerge w:val="continue"/>
            <w:vAlign w:val="center"/>
          </w:tcPr>
          <w:p>
            <w:pPr>
              <w:widowControl/>
              <w:spacing w:line="360" w:lineRule="auto"/>
              <w:jc w:val="center"/>
              <w:rPr>
                <w:rFonts w:ascii="宋体" w:hAnsi="宋体"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4</w:t>
            </w:r>
          </w:p>
        </w:tc>
        <w:tc>
          <w:tcPr>
            <w:tcW w:w="3185"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以上检测项目及其配套设备运行所需的辅助试剂和耗材</w:t>
            </w:r>
          </w:p>
        </w:tc>
        <w:tc>
          <w:tcPr>
            <w:tcW w:w="1368"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1060测试</w:t>
            </w:r>
          </w:p>
        </w:tc>
        <w:tc>
          <w:tcPr>
            <w:tcW w:w="3836" w:type="dxa"/>
            <w:vMerge w:val="continue"/>
            <w:vAlign w:val="center"/>
          </w:tcPr>
          <w:p>
            <w:pPr>
              <w:widowControl/>
              <w:spacing w:line="360" w:lineRule="auto"/>
              <w:jc w:val="center"/>
              <w:rPr>
                <w:rFonts w:ascii="宋体" w:hAnsi="宋体" w:cs="仿宋"/>
                <w:kern w:val="0"/>
                <w:sz w:val="22"/>
              </w:rPr>
            </w:pPr>
          </w:p>
        </w:tc>
      </w:tr>
    </w:tbl>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二、项目要求</w:t>
      </w:r>
    </w:p>
    <w:p>
      <w:pPr>
        <w:pStyle w:val="4"/>
        <w:ind w:left="283" w:leftChars="135" w:firstLine="0" w:firstLineChars="0"/>
        <w:rPr>
          <w:rFonts w:ascii="宋体" w:hAnsi="宋体" w:cs="仿宋"/>
          <w:b/>
          <w:sz w:val="24"/>
        </w:rPr>
      </w:pPr>
      <w:r>
        <w:rPr>
          <w:rFonts w:hint="eastAsia" w:ascii="宋体" w:hAnsi="宋体" w:cs="仿宋"/>
          <w:sz w:val="24"/>
        </w:rPr>
        <w:t>▲</w:t>
      </w:r>
      <w:r>
        <w:rPr>
          <w:rFonts w:hint="eastAsia" w:ascii="宋体" w:hAnsi="宋体" w:cs="仿宋"/>
          <w:b/>
          <w:sz w:val="24"/>
        </w:rPr>
        <w:t>（一）项目预算：15万元/年</w:t>
      </w:r>
    </w:p>
    <w:p>
      <w:pPr>
        <w:pStyle w:val="4"/>
        <w:ind w:left="283" w:leftChars="135" w:firstLine="0" w:firstLineChars="0"/>
        <w:rPr>
          <w:rFonts w:ascii="宋体" w:hAnsi="宋体" w:cs="仿宋"/>
          <w:b/>
          <w:bCs/>
          <w:sz w:val="24"/>
        </w:rPr>
      </w:pPr>
      <w:r>
        <w:rPr>
          <w:rFonts w:hint="eastAsia" w:ascii="宋体" w:hAnsi="宋体" w:cs="仿宋"/>
          <w:b/>
          <w:sz w:val="24"/>
        </w:rPr>
        <w:t>（</w:t>
      </w:r>
      <w:r>
        <w:rPr>
          <w:rFonts w:hint="eastAsia" w:ascii="宋体" w:hAnsi="宋体" w:cs="仿宋"/>
          <w:b/>
          <w:sz w:val="24"/>
          <w:lang w:val="en-US" w:eastAsia="zh-CN"/>
        </w:rPr>
        <w:t>二</w:t>
      </w:r>
      <w:r>
        <w:rPr>
          <w:rFonts w:hint="eastAsia" w:ascii="宋体" w:hAnsi="宋体" w:cs="仿宋"/>
          <w:b/>
          <w:sz w:val="24"/>
        </w:rPr>
        <w:t>）</w:t>
      </w:r>
      <w:r>
        <w:rPr>
          <w:rFonts w:hint="eastAsia" w:ascii="宋体" w:hAnsi="宋体" w:cs="仿宋"/>
          <w:b/>
          <w:bCs/>
          <w:sz w:val="24"/>
        </w:rPr>
        <w:t>技术、服务要求：</w:t>
      </w:r>
    </w:p>
    <w:p>
      <w:pPr>
        <w:pStyle w:val="4"/>
        <w:ind w:left="283" w:leftChars="135" w:firstLine="0" w:firstLineChars="0"/>
        <w:rPr>
          <w:rFonts w:ascii="宋体" w:hAnsi="宋体" w:cs="仿宋"/>
          <w:sz w:val="24"/>
        </w:rPr>
      </w:pPr>
      <w:r>
        <w:rPr>
          <w:rFonts w:hint="eastAsia" w:ascii="宋体" w:hAnsi="宋体" w:cs="仿宋"/>
          <w:sz w:val="24"/>
        </w:rPr>
        <w:t>1、技术要求：</w:t>
      </w:r>
    </w:p>
    <w:p>
      <w:pPr>
        <w:pStyle w:val="4"/>
        <w:ind w:left="283" w:leftChars="135" w:firstLine="0" w:firstLineChars="0"/>
        <w:rPr>
          <w:rFonts w:ascii="宋体" w:hAnsi="宋体"/>
          <w:sz w:val="24"/>
        </w:rPr>
      </w:pPr>
      <w:r>
        <w:rPr>
          <w:rFonts w:hint="eastAsia" w:ascii="宋体" w:hAnsi="宋体" w:cs="仿宋"/>
          <w:sz w:val="24"/>
        </w:rPr>
        <w:t>（1）</w:t>
      </w:r>
      <w:r>
        <w:rPr>
          <w:rFonts w:hint="eastAsia" w:ascii="宋体" w:hAnsi="宋体"/>
          <w:sz w:val="24"/>
        </w:rPr>
        <w:t>试剂总体要求：</w:t>
      </w:r>
    </w:p>
    <w:p>
      <w:pPr>
        <w:pStyle w:val="4"/>
        <w:ind w:left="283" w:leftChars="135" w:firstLine="480"/>
        <w:rPr>
          <w:rFonts w:ascii="宋体" w:hAnsi="宋体" w:cs="仿宋"/>
          <w:sz w:val="24"/>
        </w:rPr>
      </w:pPr>
      <w:r>
        <w:rPr>
          <w:rFonts w:hint="eastAsia" w:ascii="宋体" w:hAnsi="宋体" w:cs="仿宋"/>
          <w:sz w:val="24"/>
        </w:rPr>
        <w:t>★1.1鉴定数据库：鉴定微生物的种类超过500种，包含革兰阴性菌、革兰阳性菌、苛养菌（嗜血杆菌/奈瑟菌）、酵母菌、厌氧菌等。（提供鉴定菌种目录手册并盖章）</w:t>
      </w:r>
    </w:p>
    <w:p>
      <w:pPr>
        <w:pStyle w:val="4"/>
        <w:ind w:left="283" w:leftChars="135" w:firstLine="480"/>
        <w:rPr>
          <w:rFonts w:ascii="宋体" w:hAnsi="宋体" w:cs="仿宋"/>
          <w:sz w:val="24"/>
        </w:rPr>
      </w:pPr>
      <w:r>
        <w:rPr>
          <w:rFonts w:hint="eastAsia" w:ascii="宋体" w:hAnsi="宋体" w:cs="仿宋"/>
          <w:sz w:val="24"/>
        </w:rPr>
        <w:t>★1.2多种板条形式供选择，包括鉴定药敏复合板、单独鉴定板和单独药敏板等</w:t>
      </w:r>
    </w:p>
    <w:p>
      <w:pPr>
        <w:pStyle w:val="4"/>
        <w:ind w:left="283" w:leftChars="135" w:firstLine="480"/>
        <w:rPr>
          <w:rFonts w:ascii="宋体" w:hAnsi="宋体" w:cs="仿宋"/>
          <w:sz w:val="24"/>
        </w:rPr>
      </w:pPr>
      <w:r>
        <w:rPr>
          <w:rFonts w:hint="eastAsia" w:ascii="宋体" w:hAnsi="宋体" w:cs="仿宋"/>
          <w:sz w:val="24"/>
        </w:rPr>
        <w:t>1.3药敏检测采用CLSI推荐的微量肉汤稀释法提供实测定量的MIC药敏检测结果，不依赖鉴定结果、历史数据和软件系统进行虚拟推测。</w:t>
      </w:r>
    </w:p>
    <w:p>
      <w:pPr>
        <w:pStyle w:val="4"/>
        <w:ind w:left="283" w:leftChars="135" w:firstLine="480"/>
        <w:rPr>
          <w:rFonts w:ascii="宋体" w:hAnsi="宋体" w:cs="仿宋"/>
          <w:sz w:val="24"/>
        </w:rPr>
      </w:pPr>
      <w:r>
        <w:rPr>
          <w:rFonts w:hint="eastAsia" w:ascii="宋体" w:hAnsi="宋体" w:cs="仿宋"/>
          <w:sz w:val="24"/>
        </w:rPr>
        <w:t>1.4可进行VRE、β-内酰胺酶、ESBL、IB诱导酶、MRSA、VRSA等检测。</w:t>
      </w:r>
    </w:p>
    <w:p>
      <w:pPr>
        <w:pStyle w:val="4"/>
        <w:ind w:left="283" w:leftChars="135" w:firstLine="480"/>
        <w:rPr>
          <w:rFonts w:ascii="宋体" w:hAnsi="宋体" w:cs="仿宋"/>
          <w:sz w:val="24"/>
        </w:rPr>
      </w:pPr>
      <w:r>
        <w:rPr>
          <w:rFonts w:hint="eastAsia" w:ascii="宋体" w:hAnsi="宋体" w:cs="仿宋"/>
          <w:sz w:val="24"/>
        </w:rPr>
        <w:t>1.5每个分离菌株至少可提供18种以上抗生素定量药敏结果。</w:t>
      </w:r>
    </w:p>
    <w:p>
      <w:pPr>
        <w:pStyle w:val="4"/>
        <w:ind w:left="283" w:leftChars="135" w:firstLine="480"/>
        <w:rPr>
          <w:rFonts w:ascii="宋体" w:hAnsi="宋体" w:cs="仿宋"/>
          <w:sz w:val="24"/>
        </w:rPr>
      </w:pPr>
      <w:r>
        <w:rPr>
          <w:rFonts w:hint="eastAsia" w:ascii="宋体" w:hAnsi="宋体" w:cs="仿宋"/>
          <w:sz w:val="24"/>
        </w:rPr>
        <w:t>★1.6支持不比浊菌液制备的快速定量接种模式。</w:t>
      </w:r>
    </w:p>
    <w:p>
      <w:pPr>
        <w:pStyle w:val="4"/>
        <w:ind w:left="283" w:leftChars="135" w:firstLine="480"/>
        <w:rPr>
          <w:rFonts w:hint="eastAsia" w:ascii="宋体" w:hAnsi="宋体" w:cs="仿宋"/>
          <w:sz w:val="24"/>
        </w:rPr>
      </w:pPr>
      <w:r>
        <w:rPr>
          <w:rFonts w:hint="eastAsia" w:ascii="宋体" w:hAnsi="宋体" w:cs="仿宋"/>
          <w:sz w:val="24"/>
        </w:rPr>
        <w:t>★1.7质量要求：同时具有欧洲CE认证、美国FDA认证。</w:t>
      </w:r>
    </w:p>
    <w:p>
      <w:pPr>
        <w:pStyle w:val="4"/>
        <w:ind w:left="283" w:leftChars="135" w:firstLine="480"/>
        <w:rPr>
          <w:rFonts w:ascii="宋体" w:hAnsi="宋体" w:cs="仿宋"/>
          <w:sz w:val="24"/>
        </w:rPr>
      </w:pPr>
      <w:r>
        <w:rPr>
          <w:rFonts w:hint="eastAsia" w:ascii="宋体" w:hAnsi="宋体" w:cs="仿宋"/>
          <w:sz w:val="24"/>
        </w:rPr>
        <w:t>1.8试剂板条可室温储存储存，有效期为 12 个月。</w:t>
      </w:r>
    </w:p>
    <w:p>
      <w:pPr>
        <w:pStyle w:val="4"/>
        <w:ind w:left="283" w:leftChars="135" w:firstLine="0" w:firstLineChars="0"/>
        <w:rPr>
          <w:rFonts w:ascii="宋体" w:hAnsi="宋体" w:cs="仿宋"/>
          <w:b/>
          <w:bCs/>
          <w:sz w:val="24"/>
        </w:rPr>
      </w:pPr>
      <w:r>
        <w:rPr>
          <w:rFonts w:hint="eastAsia" w:ascii="宋体" w:hAnsi="宋体" w:cs="仿宋"/>
          <w:sz w:val="24"/>
        </w:rPr>
        <w:t>（2）技术服务要求：</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1）.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 xml:space="preserve">2）.成交供应商在合同期内配置与响应试剂耗材产品适配的检验仪器： </w:t>
      </w:r>
    </w:p>
    <w:p>
      <w:pPr>
        <w:pStyle w:val="4"/>
        <w:spacing w:line="400" w:lineRule="exact"/>
        <w:ind w:firstLine="480"/>
        <w:rPr>
          <w:rFonts w:hint="eastAsia" w:ascii="宋体"/>
          <w:color w:val="000000"/>
          <w:sz w:val="24"/>
        </w:rPr>
      </w:pPr>
      <w:r>
        <w:rPr>
          <w:rFonts w:hint="eastAsia" w:ascii="宋体"/>
          <w:color w:val="000000"/>
          <w:sz w:val="24"/>
        </w:rPr>
        <w:t>2.1配置数量：至少配置2套自动化微生物鉴定药敏分析系统，并根据医院业务发展需要实时增加设备数量。</w:t>
      </w:r>
    </w:p>
    <w:p>
      <w:pPr>
        <w:pStyle w:val="4"/>
        <w:spacing w:line="400" w:lineRule="exact"/>
        <w:ind w:firstLine="480"/>
        <w:rPr>
          <w:rFonts w:ascii="宋体"/>
          <w:color w:val="000000"/>
          <w:sz w:val="24"/>
        </w:rPr>
      </w:pPr>
      <w:r>
        <w:rPr>
          <w:rFonts w:hint="eastAsia" w:ascii="宋体"/>
          <w:color w:val="000000"/>
          <w:sz w:val="24"/>
        </w:rPr>
        <w:t>2.2维护保养：供应商承担检验仪器的维护保养及检修费用，根据科室要求提供免费培训和远程技术指导。</w:t>
      </w:r>
    </w:p>
    <w:p>
      <w:pPr>
        <w:pStyle w:val="4"/>
        <w:spacing w:line="400" w:lineRule="exact"/>
        <w:ind w:firstLine="480"/>
        <w:rPr>
          <w:rFonts w:ascii="宋体"/>
          <w:color w:val="000000"/>
          <w:sz w:val="24"/>
        </w:rPr>
      </w:pPr>
      <w:r>
        <w:rPr>
          <w:rFonts w:hint="eastAsia" w:ascii="宋体"/>
          <w:color w:val="000000"/>
          <w:sz w:val="24"/>
        </w:rPr>
        <w:t>2.3信息系统：供应商承担检验仪器与医院相关信息系统（如Lis系统）做接口产生的相关费用。</w:t>
      </w:r>
    </w:p>
    <w:p>
      <w:pPr>
        <w:pStyle w:val="4"/>
        <w:spacing w:line="400" w:lineRule="exact"/>
        <w:ind w:firstLine="480"/>
        <w:rPr>
          <w:rFonts w:ascii="宋体"/>
          <w:color w:val="000000"/>
          <w:sz w:val="24"/>
        </w:rPr>
      </w:pPr>
      <w:r>
        <w:rPr>
          <w:rFonts w:hint="eastAsia" w:ascii="宋体"/>
          <w:color w:val="000000"/>
          <w:sz w:val="24"/>
        </w:rPr>
        <w:t>3）检验仪器性能要求：</w:t>
      </w:r>
    </w:p>
    <w:p>
      <w:pPr>
        <w:pStyle w:val="4"/>
        <w:spacing w:line="400" w:lineRule="exact"/>
        <w:ind w:firstLine="480"/>
        <w:rPr>
          <w:rFonts w:ascii="宋体"/>
          <w:color w:val="000000"/>
          <w:sz w:val="24"/>
        </w:rPr>
      </w:pPr>
      <w:r>
        <w:rPr>
          <w:rFonts w:hint="eastAsia" w:ascii="宋体"/>
          <w:color w:val="000000"/>
          <w:sz w:val="24"/>
        </w:rPr>
        <w:t>3.1判读系统自动进行鉴定药敏试验的结果判读。</w:t>
      </w:r>
    </w:p>
    <w:p>
      <w:pPr>
        <w:pStyle w:val="4"/>
        <w:spacing w:line="400" w:lineRule="exact"/>
        <w:ind w:firstLine="480"/>
        <w:rPr>
          <w:rFonts w:ascii="宋体"/>
          <w:color w:val="000000"/>
          <w:sz w:val="24"/>
        </w:rPr>
      </w:pPr>
      <w:r>
        <w:rPr>
          <w:rFonts w:hint="eastAsia" w:ascii="宋体" w:hAnsi="宋体" w:cs="仿宋"/>
          <w:sz w:val="24"/>
        </w:rPr>
        <w:t>★3.2</w:t>
      </w:r>
      <w:r>
        <w:rPr>
          <w:rFonts w:hint="eastAsia" w:ascii="宋体"/>
          <w:color w:val="000000"/>
          <w:sz w:val="24"/>
        </w:rPr>
        <w:t>药敏试验的结果可人工肉眼复核和判读。</w:t>
      </w:r>
    </w:p>
    <w:p>
      <w:pPr>
        <w:pStyle w:val="4"/>
        <w:spacing w:line="400" w:lineRule="exact"/>
        <w:ind w:firstLine="480"/>
        <w:rPr>
          <w:rFonts w:ascii="宋体"/>
          <w:color w:val="000000"/>
          <w:sz w:val="24"/>
        </w:rPr>
      </w:pPr>
      <w:r>
        <w:rPr>
          <w:rFonts w:hint="eastAsia" w:ascii="宋体" w:hAnsi="宋体" w:cs="仿宋"/>
          <w:sz w:val="24"/>
        </w:rPr>
        <w:t>★3.3</w:t>
      </w:r>
      <w:r>
        <w:rPr>
          <w:rFonts w:hint="eastAsia" w:ascii="宋体"/>
          <w:color w:val="000000"/>
          <w:sz w:val="24"/>
        </w:rPr>
        <w:t>对于鉴定药敏复合板，判读系统可单独判读分析鉴定试验结果和药敏试验结果。</w:t>
      </w:r>
    </w:p>
    <w:p>
      <w:pPr>
        <w:pStyle w:val="4"/>
        <w:spacing w:line="400" w:lineRule="exact"/>
        <w:ind w:firstLine="480"/>
        <w:rPr>
          <w:rFonts w:ascii="宋体"/>
          <w:color w:val="000000"/>
          <w:sz w:val="24"/>
        </w:rPr>
      </w:pPr>
      <w:r>
        <w:rPr>
          <w:rFonts w:hint="eastAsia" w:ascii="宋体"/>
          <w:color w:val="000000"/>
          <w:sz w:val="24"/>
        </w:rPr>
        <w:t>3.4判读系统可同时提供所有药敏测试定量MIC 值和S.I.R报告。</w:t>
      </w:r>
    </w:p>
    <w:p>
      <w:pPr>
        <w:pStyle w:val="4"/>
        <w:spacing w:line="400" w:lineRule="exact"/>
        <w:ind w:firstLine="480"/>
        <w:rPr>
          <w:rFonts w:ascii="宋体"/>
          <w:color w:val="000000"/>
          <w:sz w:val="24"/>
        </w:rPr>
      </w:pPr>
      <w:r>
        <w:rPr>
          <w:rFonts w:hint="eastAsia" w:ascii="宋体"/>
          <w:color w:val="000000"/>
          <w:sz w:val="24"/>
        </w:rPr>
        <w:t>3.5专家系统对鉴定药敏结果进行审核，异常结果自动报警并提供解释或进一步操作的提示。</w:t>
      </w:r>
    </w:p>
    <w:p>
      <w:pPr>
        <w:pStyle w:val="4"/>
        <w:spacing w:line="400" w:lineRule="exact"/>
        <w:ind w:firstLine="480"/>
        <w:rPr>
          <w:rFonts w:ascii="宋体"/>
          <w:color w:val="000000"/>
          <w:sz w:val="24"/>
        </w:rPr>
      </w:pPr>
      <w:r>
        <w:rPr>
          <w:rFonts w:hint="eastAsia" w:ascii="宋体" w:hAnsi="宋体" w:cs="仿宋"/>
          <w:sz w:val="24"/>
        </w:rPr>
        <w:t>★3.6</w:t>
      </w:r>
      <w:r>
        <w:rPr>
          <w:rFonts w:hint="eastAsia" w:ascii="宋体"/>
          <w:color w:val="000000"/>
          <w:sz w:val="24"/>
        </w:rPr>
        <w:t>开放式专家系统：除了系统预设的规则外，可根据医院及地区性的特殊性自行增加专家条例规则。</w:t>
      </w:r>
    </w:p>
    <w:p>
      <w:pPr>
        <w:pStyle w:val="4"/>
        <w:spacing w:line="400" w:lineRule="exact"/>
        <w:ind w:firstLine="480"/>
        <w:rPr>
          <w:rFonts w:ascii="宋体"/>
          <w:color w:val="000000"/>
          <w:sz w:val="24"/>
        </w:rPr>
      </w:pPr>
      <w:r>
        <w:rPr>
          <w:rFonts w:hint="eastAsia" w:ascii="宋体"/>
          <w:color w:val="000000"/>
          <w:sz w:val="24"/>
        </w:rPr>
        <w:t>3.7软件系统支持双向，可上传或下传资料报告，以及WHONET微生物数据输入与分析.</w:t>
      </w:r>
    </w:p>
    <w:p>
      <w:pPr>
        <w:pStyle w:val="4"/>
        <w:spacing w:line="400" w:lineRule="exact"/>
        <w:ind w:firstLine="482"/>
        <w:rPr>
          <w:rFonts w:ascii="宋体"/>
          <w:b/>
          <w:color w:val="000000"/>
          <w:sz w:val="24"/>
        </w:rPr>
      </w:pPr>
      <w:r>
        <w:rPr>
          <w:rFonts w:hint="eastAsia" w:ascii="宋体" w:hAnsi="宋体" w:cs="仿宋"/>
          <w:b/>
          <w:sz w:val="24"/>
        </w:rPr>
        <w:t>（</w:t>
      </w:r>
      <w:r>
        <w:rPr>
          <w:rFonts w:hint="eastAsia" w:ascii="宋体" w:hAnsi="宋体" w:cs="仿宋"/>
          <w:b/>
          <w:sz w:val="24"/>
          <w:lang w:val="en-US" w:eastAsia="zh-CN"/>
        </w:rPr>
        <w:t>三</w:t>
      </w:r>
      <w:r>
        <w:rPr>
          <w:rFonts w:hint="eastAsia" w:ascii="宋体" w:hAnsi="宋体" w:cs="仿宋"/>
          <w:b/>
          <w:sz w:val="24"/>
        </w:rPr>
        <w:t>）</w:t>
      </w:r>
      <w:r>
        <w:rPr>
          <w:rFonts w:hint="eastAsia" w:ascii="宋体" w:hAnsi="宋体" w:cs="仿宋"/>
          <w:b/>
          <w:bCs/>
          <w:sz w:val="24"/>
        </w:rPr>
        <w:t>商务要求：</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1.付款方法和条件：</w:t>
      </w:r>
    </w:p>
    <w:p>
      <w:pPr>
        <w:pStyle w:val="4"/>
        <w:spacing w:line="400" w:lineRule="exact"/>
        <w:ind w:firstLine="480"/>
        <w:rPr>
          <w:rFonts w:ascii="宋体"/>
          <w:color w:val="000000"/>
          <w:sz w:val="24"/>
        </w:rPr>
      </w:pPr>
      <w:r>
        <w:rPr>
          <w:rFonts w:hint="eastAsia" w:ascii="宋体"/>
          <w:color w:val="000000"/>
          <w:sz w:val="24"/>
        </w:rPr>
        <w:t>（1）采购人自收到供应商配送的耗材产品，验收合格入库后，供应商按照采购人要求每月进行对账，采购人按以下方式支付货款：（请选择下面两种付款方式之一，方式一【  】/ 方式二【  】）</w:t>
      </w:r>
    </w:p>
    <w:p>
      <w:pPr>
        <w:pStyle w:val="4"/>
        <w:spacing w:line="400" w:lineRule="exact"/>
        <w:ind w:firstLine="480"/>
        <w:rPr>
          <w:rFonts w:ascii="宋体"/>
          <w:color w:val="000000"/>
          <w:sz w:val="24"/>
        </w:rPr>
      </w:pPr>
      <w:r>
        <w:rPr>
          <w:rFonts w:hint="eastAsia" w:ascii="宋体"/>
          <w:color w:val="000000"/>
          <w:sz w:val="24"/>
        </w:rPr>
        <w:t>方式一：供应商为中小企业（依据国务院批准的中小企业划分标准确定的中型企业、小型企业和微型企业），供应商出具合法有效完整的完税发票及凭证资料后，甲方2个月内支付货款。</w:t>
      </w:r>
    </w:p>
    <w:p>
      <w:pPr>
        <w:pStyle w:val="4"/>
        <w:spacing w:line="400" w:lineRule="exact"/>
        <w:ind w:firstLine="480"/>
        <w:rPr>
          <w:rFonts w:ascii="宋体"/>
          <w:color w:val="000000"/>
          <w:sz w:val="24"/>
        </w:rPr>
      </w:pPr>
      <w:r>
        <w:rPr>
          <w:rFonts w:hint="eastAsia" w:ascii="宋体"/>
          <w:color w:val="000000"/>
          <w:sz w:val="24"/>
        </w:rPr>
        <w:t>方式二：供应商为大型企业（方式一中规定的中小企业以外的企业），供应商出具合法有效完整的完税发票及凭证资料后，采购人6个月后支付货款。</w:t>
      </w:r>
    </w:p>
    <w:p>
      <w:pPr>
        <w:pStyle w:val="4"/>
        <w:spacing w:line="400" w:lineRule="exact"/>
        <w:ind w:firstLine="480"/>
        <w:rPr>
          <w:rFonts w:ascii="宋体"/>
          <w:color w:val="000000"/>
          <w:sz w:val="24"/>
        </w:rPr>
      </w:pPr>
      <w:r>
        <w:rPr>
          <w:rFonts w:hint="eastAsia" w:ascii="宋体"/>
          <w:color w:val="000000"/>
          <w:sz w:val="24"/>
        </w:rPr>
        <w:t>（2）因供应商供货质量不合格或不符合采购人要求的，采购人有权拒绝付款。</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2</w:t>
      </w:r>
      <w:r>
        <w:rPr>
          <w:rFonts w:ascii="宋体"/>
          <w:color w:val="000000"/>
          <w:sz w:val="24"/>
        </w:rPr>
        <w:t>.</w:t>
      </w:r>
      <w:r>
        <w:rPr>
          <w:rFonts w:hint="eastAsia" w:ascii="宋体"/>
          <w:color w:val="000000"/>
          <w:sz w:val="24"/>
        </w:rPr>
        <w:t>供货期限：3年，采购数量以实际使用量为准。</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3</w:t>
      </w:r>
      <w:r>
        <w:rPr>
          <w:rFonts w:ascii="宋体"/>
          <w:color w:val="000000"/>
          <w:sz w:val="24"/>
        </w:rPr>
        <w:t>.</w:t>
      </w:r>
      <w:r>
        <w:rPr>
          <w:rFonts w:hint="eastAsia" w:ascii="宋体"/>
          <w:color w:val="000000"/>
          <w:sz w:val="24"/>
        </w:rPr>
        <w:t>报价原则：</w:t>
      </w:r>
    </w:p>
    <w:p>
      <w:pPr>
        <w:pStyle w:val="4"/>
        <w:spacing w:line="400" w:lineRule="exact"/>
        <w:ind w:firstLine="482"/>
        <w:rPr>
          <w:rFonts w:ascii="宋体"/>
          <w:color w:val="000000"/>
          <w:sz w:val="24"/>
        </w:rPr>
      </w:pPr>
      <w:r>
        <w:rPr>
          <w:rFonts w:hint="eastAsia" w:ascii="宋体"/>
          <w:b/>
          <w:bCs/>
          <w:color w:val="000000"/>
          <w:sz w:val="24"/>
        </w:rPr>
        <w:t>3.1供应商应对完成检测项目及其配套设备运行所需所有的辅助试剂和耗材进行报价和数量预估。</w:t>
      </w:r>
    </w:p>
    <w:p>
      <w:pPr>
        <w:pStyle w:val="4"/>
        <w:spacing w:line="400" w:lineRule="exact"/>
        <w:ind w:firstLine="480"/>
        <w:rPr>
          <w:rFonts w:ascii="宋体"/>
          <w:color w:val="000000"/>
          <w:sz w:val="24"/>
        </w:rPr>
      </w:pPr>
      <w:r>
        <w:rPr>
          <w:rFonts w:hint="eastAsia" w:ascii="宋体"/>
          <w:color w:val="000000"/>
          <w:sz w:val="24"/>
        </w:rPr>
        <w:t>3.2原则上所有投标产品报价不得高于四川省内其他地市中标价格或医疗机构近两年的历史最低价。（</w:t>
      </w:r>
      <w:r>
        <w:rPr>
          <w:rFonts w:hint="eastAsia" w:ascii="宋体"/>
          <w:b/>
          <w:bCs/>
          <w:sz w:val="24"/>
        </w:rPr>
        <w:t>对此单独提供承诺函并加盖供应商公章，格式自拟。</w:t>
      </w:r>
      <w:r>
        <w:rPr>
          <w:rFonts w:hint="eastAsia" w:ascii="宋体"/>
          <w:color w:val="000000"/>
          <w:sz w:val="24"/>
        </w:rPr>
        <w:t>）</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4.合同结算：本项目的“预估采购数量”、 供应商的“投标总价”仅做为报价评审依据，最终根据实际需求进行相应调整，结算以实际发生量乘以供应商投标单价结算，且不超过每年的预算总价。</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5.质量保证：</w:t>
      </w:r>
    </w:p>
    <w:p>
      <w:pPr>
        <w:pStyle w:val="4"/>
        <w:spacing w:line="400" w:lineRule="exact"/>
        <w:ind w:firstLine="480"/>
        <w:rPr>
          <w:rFonts w:ascii="宋体"/>
          <w:color w:val="000000"/>
          <w:sz w:val="24"/>
        </w:rPr>
      </w:pPr>
      <w:r>
        <w:rPr>
          <w:rFonts w:hint="eastAsia" w:ascii="宋体"/>
          <w:color w:val="000000"/>
          <w:sz w:val="24"/>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4"/>
        <w:spacing w:line="400" w:lineRule="exact"/>
        <w:ind w:firstLine="480" w:firstLineChars="0"/>
        <w:rPr>
          <w:rFonts w:ascii="宋体"/>
          <w:color w:val="000000"/>
          <w:sz w:val="24"/>
        </w:rPr>
      </w:pPr>
      <w:r>
        <w:rPr>
          <w:rFonts w:hint="eastAsia" w:ascii="宋体"/>
          <w:color w:val="000000"/>
          <w:sz w:val="24"/>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pStyle w:val="2"/>
        <w:spacing w:after="0" w:line="360" w:lineRule="auto"/>
        <w:ind w:firstLine="473"/>
        <w:rPr>
          <w:rFonts w:ascii="等线 Light" w:hAnsi="等线 Light" w:eastAsia="等线 Light" w:cs="仿宋"/>
          <w:b/>
        </w:rPr>
      </w:pPr>
      <w:r>
        <w:rPr>
          <w:rFonts w:hint="eastAsia" w:ascii="等线 Light" w:hAnsi="等线 Light" w:eastAsia="等线 Light" w:cs="仿宋"/>
          <w:b/>
          <w:sz w:val="24"/>
        </w:rPr>
        <w:t>注：本项目若涉及国家法律法规规定的其他强制性条件，包括工程、医疗器械、特种设备、涉密、计量器具、安全技术防范系统及产品、计算机信息系统安全专业产品类等相关</w:t>
      </w:r>
      <w:r>
        <w:rPr>
          <w:rFonts w:ascii="等线 Light" w:hAnsi="等线 Light" w:eastAsia="等线 Light" w:cs="仿宋"/>
          <w:b/>
          <w:sz w:val="24"/>
        </w:rPr>
        <w:t>领域和强制性产品认证（3C），投标产品需</w:t>
      </w:r>
      <w:r>
        <w:rPr>
          <w:rFonts w:hint="eastAsia" w:ascii="等线 Light" w:hAnsi="等线 Light" w:eastAsia="等线 Light" w:cs="仿宋"/>
          <w:b/>
          <w:sz w:val="24"/>
        </w:rPr>
        <w:t>提供投标文件格式附件三：强制性产品的认证（3C）证书承诺函或按采购文件要求提供相关资料</w:t>
      </w:r>
      <w:r>
        <w:rPr>
          <w:rFonts w:ascii="等线 Light" w:hAnsi="等线 Light" w:eastAsia="等线 Light" w:cs="仿宋"/>
          <w:b/>
          <w:sz w:val="24"/>
        </w:rPr>
        <w:t>。</w:t>
      </w:r>
    </w:p>
    <w:p>
      <w:pPr>
        <w:widowControl/>
        <w:shd w:val="clear" w:color="auto" w:fill="FFFFFF"/>
        <w:wordWrap w:val="0"/>
        <w:spacing w:line="500" w:lineRule="exact"/>
        <w:jc w:val="left"/>
        <w:rPr>
          <w:rFonts w:ascii="仿宋" w:hAnsi="仿宋" w:eastAsia="仿宋" w:cs="Segoe UI"/>
          <w:color w:val="000000" w:themeColor="text1"/>
          <w:spacing w:val="8"/>
          <w:kern w:val="0"/>
          <w:sz w:val="24"/>
          <w:szCs w:val="24"/>
        </w:rPr>
      </w:pPr>
    </w:p>
    <w:p>
      <w:pPr>
        <w:widowControl/>
        <w:shd w:val="clear" w:color="auto" w:fill="FFFFFF"/>
        <w:wordWrap w:val="0"/>
        <w:spacing w:line="500" w:lineRule="exact"/>
        <w:jc w:val="left"/>
        <w:rPr>
          <w:rFonts w:ascii="仿宋" w:hAnsi="仿宋" w:eastAsia="仿宋" w:cs="Segoe UI"/>
          <w:color w:val="000000" w:themeColor="text1"/>
          <w:spacing w:val="8"/>
          <w:kern w:val="0"/>
          <w:sz w:val="24"/>
          <w:szCs w:val="24"/>
        </w:rPr>
      </w:pPr>
    </w:p>
    <w:p>
      <w:pPr>
        <w:widowControl/>
        <w:spacing w:line="360" w:lineRule="auto"/>
        <w:jc w:val="left"/>
        <w:rPr>
          <w:rFonts w:ascii="宋体" w:hAnsi="宋体" w:eastAsia="宋体" w:cs="Segoe UI"/>
          <w:b/>
          <w:bCs/>
          <w:kern w:val="0"/>
          <w:sz w:val="28"/>
          <w:szCs w:val="28"/>
        </w:rPr>
      </w:pPr>
      <w:r>
        <w:rPr>
          <w:rFonts w:ascii="黑体" w:hAnsi="黑体" w:eastAsia="黑体" w:cs="Segoe UI"/>
          <w:b/>
          <w:bCs/>
          <w:color w:val="333333"/>
          <w:kern w:val="0"/>
          <w:sz w:val="28"/>
          <w:szCs w:val="28"/>
        </w:rPr>
        <w:br w:type="page"/>
      </w: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8"/>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87"/>
        <w:gridCol w:w="668"/>
        <w:gridCol w:w="6038"/>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54" w:type="pct"/>
            <w:vAlign w:val="center"/>
          </w:tcPr>
          <w:p>
            <w:pPr>
              <w:widowControl/>
              <w:spacing w:line="240" w:lineRule="atLeast"/>
              <w:jc w:val="center"/>
              <w:rPr>
                <w:rFonts w:ascii="宋体" w:hAnsi="宋体" w:cs="Segoe UI"/>
                <w:b/>
                <w:color w:val="333333"/>
                <w:kern w:val="0"/>
              </w:rPr>
            </w:pPr>
            <w:r>
              <w:rPr>
                <w:rFonts w:hint="eastAsia" w:ascii="宋体" w:hAnsi="宋体" w:cs="Segoe UI"/>
                <w:b/>
                <w:color w:val="333333"/>
                <w:kern w:val="0"/>
              </w:rPr>
              <w:t>序号</w:t>
            </w:r>
          </w:p>
        </w:tc>
        <w:tc>
          <w:tcPr>
            <w:tcW w:w="701" w:type="pct"/>
            <w:vAlign w:val="center"/>
          </w:tcPr>
          <w:p>
            <w:pPr>
              <w:widowControl/>
              <w:spacing w:line="240" w:lineRule="atLeast"/>
              <w:jc w:val="center"/>
              <w:rPr>
                <w:rFonts w:ascii="宋体" w:hAnsi="宋体" w:cs="Segoe UI"/>
                <w:b/>
                <w:color w:val="333333"/>
                <w:kern w:val="0"/>
              </w:rPr>
            </w:pPr>
            <w:r>
              <w:rPr>
                <w:rFonts w:hint="eastAsia" w:ascii="宋体" w:hAnsi="宋体" w:cs="Segoe UI"/>
                <w:b/>
                <w:color w:val="333333"/>
                <w:kern w:val="0"/>
              </w:rPr>
              <w:t>评分因素</w:t>
            </w:r>
          </w:p>
        </w:tc>
        <w:tc>
          <w:tcPr>
            <w:tcW w:w="338" w:type="pct"/>
            <w:vAlign w:val="center"/>
          </w:tcPr>
          <w:p>
            <w:pPr>
              <w:widowControl/>
              <w:wordWrap w:val="0"/>
              <w:spacing w:line="240" w:lineRule="atLeast"/>
              <w:jc w:val="center"/>
              <w:rPr>
                <w:rFonts w:ascii="宋体" w:hAnsi="宋体" w:cs="Segoe UI"/>
                <w:b/>
                <w:color w:val="333333"/>
                <w:kern w:val="0"/>
              </w:rPr>
            </w:pPr>
            <w:r>
              <w:rPr>
                <w:rFonts w:hint="eastAsia" w:ascii="宋体" w:hAnsi="宋体" w:cs="Segoe UI"/>
                <w:b/>
                <w:color w:val="333333"/>
                <w:kern w:val="0"/>
              </w:rPr>
              <w:t>分值</w:t>
            </w:r>
          </w:p>
        </w:tc>
        <w:tc>
          <w:tcPr>
            <w:tcW w:w="3053" w:type="pct"/>
            <w:vAlign w:val="center"/>
          </w:tcPr>
          <w:p>
            <w:pPr>
              <w:widowControl/>
              <w:wordWrap w:val="0"/>
              <w:spacing w:line="240" w:lineRule="atLeast"/>
              <w:jc w:val="center"/>
              <w:rPr>
                <w:rFonts w:ascii="宋体" w:hAnsi="宋体" w:cs="Segoe UI"/>
                <w:b/>
                <w:color w:val="333333"/>
                <w:kern w:val="0"/>
              </w:rPr>
            </w:pPr>
            <w:r>
              <w:rPr>
                <w:rFonts w:hint="eastAsia" w:ascii="宋体" w:hAnsi="宋体" w:cs="Segoe UI"/>
                <w:b/>
                <w:color w:val="333333"/>
                <w:kern w:val="0"/>
              </w:rPr>
              <w:t>评分标准</w:t>
            </w:r>
          </w:p>
        </w:tc>
        <w:tc>
          <w:tcPr>
            <w:tcW w:w="554" w:type="pct"/>
            <w:vAlign w:val="center"/>
          </w:tcPr>
          <w:p>
            <w:pPr>
              <w:widowControl/>
              <w:wordWrap w:val="0"/>
              <w:spacing w:line="240" w:lineRule="atLeas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4" w:type="pc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1</w:t>
            </w:r>
          </w:p>
        </w:tc>
        <w:tc>
          <w:tcPr>
            <w:tcW w:w="701" w:type="pc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报价</w:t>
            </w:r>
          </w:p>
        </w:tc>
        <w:tc>
          <w:tcPr>
            <w:tcW w:w="338" w:type="pc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30分</w:t>
            </w:r>
          </w:p>
        </w:tc>
        <w:tc>
          <w:tcPr>
            <w:tcW w:w="3053" w:type="pct"/>
            <w:vAlign w:val="center"/>
          </w:tcPr>
          <w:p>
            <w:pPr>
              <w:widowControl/>
              <w:wordWrap w:val="0"/>
              <w:spacing w:line="270" w:lineRule="atLeast"/>
              <w:jc w:val="left"/>
              <w:rPr>
                <w:rFonts w:ascii="宋体" w:hAnsi="宋体" w:cs="Segoe UI"/>
                <w:b/>
                <w:color w:val="000000" w:themeColor="text1"/>
                <w:kern w:val="0"/>
              </w:rPr>
            </w:pPr>
            <w:r>
              <w:rPr>
                <w:rFonts w:hint="eastAsia" w:ascii="宋体" w:hAnsi="宋体" w:cs="Segoe UI"/>
                <w:b/>
                <w:color w:val="000000" w:themeColor="text1"/>
                <w:kern w:val="0"/>
              </w:rPr>
              <w:t>1.价格分：</w:t>
            </w:r>
          </w:p>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投标材料满足采购文件要求且以报价</w:t>
            </w:r>
            <w:r>
              <w:rPr>
                <w:rFonts w:hint="eastAsia" w:ascii="宋体" w:hAnsi="宋体" w:cs="Segoe UI"/>
                <w:b/>
                <w:color w:val="000000" w:themeColor="text1"/>
                <w:kern w:val="0"/>
              </w:rPr>
              <w:t>总价</w:t>
            </w:r>
            <w:r>
              <w:rPr>
                <w:rFonts w:hint="eastAsia" w:ascii="宋体" w:hAnsi="宋体" w:cs="Segoe UI"/>
                <w:color w:val="000000" w:themeColor="text1"/>
                <w:kern w:val="0"/>
              </w:rPr>
              <w:t>最低的为</w:t>
            </w:r>
            <w:r>
              <w:rPr>
                <w:rFonts w:hint="eastAsia" w:ascii="宋体" w:hAnsi="宋体" w:cs="Segoe UI"/>
                <w:b/>
                <w:color w:val="000000" w:themeColor="text1"/>
                <w:kern w:val="0"/>
              </w:rPr>
              <w:t>评标基准价</w:t>
            </w:r>
            <w:r>
              <w:rPr>
                <w:rFonts w:hint="eastAsia" w:ascii="宋体" w:hAnsi="宋体" w:cs="Segoe UI"/>
                <w:color w:val="000000" w:themeColor="text1"/>
                <w:kern w:val="0"/>
              </w:rPr>
              <w:t>，其价格分为30分。其他供应商的价格分统一按照以下公式计算：价格分=(</w:t>
            </w:r>
            <w:r>
              <w:rPr>
                <w:rFonts w:hint="eastAsia" w:ascii="宋体" w:hAnsi="宋体" w:cs="Segoe UI"/>
                <w:b/>
                <w:color w:val="000000" w:themeColor="text1"/>
                <w:kern w:val="0"/>
              </w:rPr>
              <w:t>评标基准价</w:t>
            </w:r>
            <w:r>
              <w:rPr>
                <w:rFonts w:hint="eastAsia" w:ascii="宋体" w:hAnsi="宋体" w:cs="Segoe UI"/>
                <w:color w:val="000000" w:themeColor="text1"/>
                <w:kern w:val="0"/>
              </w:rPr>
              <w:t>／报价总价)×30</w:t>
            </w:r>
          </w:p>
          <w:p>
            <w:pPr>
              <w:widowControl/>
              <w:wordWrap w:val="0"/>
              <w:spacing w:line="270" w:lineRule="atLeast"/>
              <w:jc w:val="left"/>
              <w:rPr>
                <w:rFonts w:ascii="宋体" w:hAnsi="宋体" w:cs="Segoe UI"/>
                <w:b/>
                <w:color w:val="000000" w:themeColor="text1"/>
                <w:kern w:val="0"/>
              </w:rPr>
            </w:pPr>
            <w:r>
              <w:rPr>
                <w:rFonts w:hint="eastAsia" w:ascii="宋体" w:hAnsi="宋体" w:cs="Segoe UI"/>
                <w:b/>
                <w:color w:val="000000" w:themeColor="text1"/>
                <w:kern w:val="0"/>
              </w:rPr>
              <w:t>2.报价总价</w:t>
            </w:r>
          </w:p>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报价总价=各检测项目单人份检测（含辅助试剂和耗材）报价*预估年度检测人份</w:t>
            </w:r>
          </w:p>
        </w:tc>
        <w:tc>
          <w:tcPr>
            <w:tcW w:w="554" w:type="pct"/>
            <w:vAlign w:val="center"/>
          </w:tcPr>
          <w:p>
            <w:pPr>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4" w:type="pc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2</w:t>
            </w:r>
          </w:p>
        </w:tc>
        <w:tc>
          <w:tcPr>
            <w:tcW w:w="701" w:type="pc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技术指标</w:t>
            </w:r>
          </w:p>
        </w:tc>
        <w:tc>
          <w:tcPr>
            <w:tcW w:w="338" w:type="pc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30分</w:t>
            </w:r>
          </w:p>
        </w:tc>
        <w:tc>
          <w:tcPr>
            <w:tcW w:w="3053" w:type="pct"/>
            <w:vAlign w:val="center"/>
          </w:tcPr>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1.完全符合招标文件中（二）技术、服务要求（除（3）技术服务要求外）的要求没有负偏离得30分。</w:t>
            </w:r>
          </w:p>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2.带“</w:t>
            </w:r>
            <w:r>
              <w:rPr>
                <w:rFonts w:hint="eastAsia" w:ascii="宋体" w:hAnsi="宋体" w:cs="仿宋"/>
                <w:color w:val="000000" w:themeColor="text1"/>
                <w:sz w:val="24"/>
              </w:rPr>
              <w:t>★</w:t>
            </w:r>
            <w:r>
              <w:rPr>
                <w:rFonts w:hint="eastAsia" w:ascii="宋体" w:hAnsi="宋体" w:cs="Segoe UI"/>
                <w:color w:val="000000" w:themeColor="text1"/>
                <w:kern w:val="0"/>
              </w:rPr>
              <w:t>”的条款为重要参数条款（共4项），不满足“带“</w:t>
            </w:r>
            <w:r>
              <w:rPr>
                <w:rFonts w:hint="eastAsia" w:ascii="宋体" w:hAnsi="宋体" w:cs="仿宋"/>
                <w:color w:val="000000" w:themeColor="text1"/>
                <w:sz w:val="24"/>
              </w:rPr>
              <w:t>★</w:t>
            </w:r>
            <w:r>
              <w:rPr>
                <w:rFonts w:hint="eastAsia" w:ascii="宋体" w:hAnsi="宋体" w:cs="Segoe UI"/>
                <w:color w:val="000000" w:themeColor="text1"/>
                <w:kern w:val="0"/>
              </w:rPr>
              <w:t>”重要参数条款每一项扣5分；未标识符号的参数为一般参数（共4条），不满足一般参数条款每一项扣2.5分，扣完为止。</w:t>
            </w:r>
          </w:p>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注：“</w:t>
            </w:r>
            <w:r>
              <w:rPr>
                <w:rFonts w:hint="eastAsia" w:ascii="宋体" w:hAnsi="宋体" w:cs="仿宋"/>
                <w:color w:val="000000" w:themeColor="text1"/>
                <w:sz w:val="24"/>
              </w:rPr>
              <w:t>★</w:t>
            </w:r>
            <w:r>
              <w:rPr>
                <w:rFonts w:hint="eastAsia" w:ascii="宋体" w:hAnsi="宋体" w:cs="Segoe UI"/>
                <w:color w:val="000000" w:themeColor="text1"/>
                <w:kern w:val="0"/>
              </w:rPr>
              <w:t>”条款技术参数供应商须提供技术支撑材料：1.国家相关主管部门出具的的技术支持材料，如说明书、注册证、检测报告等；2.技术支持材料，须加盖响应产品制造厂家的印章或响应产品生产厂家驻中国境内合法直属机构印章；3.如果没有按照以上要求提供技术支持资料的，该条技术参数在评审中不予认定。</w:t>
            </w:r>
          </w:p>
        </w:tc>
        <w:tc>
          <w:tcPr>
            <w:tcW w:w="554" w:type="pct"/>
            <w:vAlign w:val="center"/>
          </w:tcPr>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54" w:type="pct"/>
            <w:vMerge w:val="restar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3</w:t>
            </w:r>
          </w:p>
        </w:tc>
        <w:tc>
          <w:tcPr>
            <w:tcW w:w="701" w:type="pct"/>
            <w:vMerge w:val="restar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供应商能力</w:t>
            </w:r>
          </w:p>
        </w:tc>
        <w:tc>
          <w:tcPr>
            <w:tcW w:w="338" w:type="pct"/>
            <w:vAlign w:val="center"/>
          </w:tcPr>
          <w:p>
            <w:pPr>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6分</w:t>
            </w:r>
          </w:p>
        </w:tc>
        <w:tc>
          <w:tcPr>
            <w:tcW w:w="3053" w:type="pct"/>
            <w:vAlign w:val="center"/>
          </w:tcPr>
          <w:p>
            <w:pPr>
              <w:wordWrap w:val="0"/>
              <w:spacing w:line="270" w:lineRule="atLeast"/>
              <w:ind w:firstLine="420" w:firstLineChars="200"/>
              <w:jc w:val="left"/>
              <w:rPr>
                <w:color w:val="000000" w:themeColor="text1"/>
              </w:rPr>
            </w:pPr>
            <w:r>
              <w:rPr>
                <w:rFonts w:hint="eastAsia"/>
                <w:color w:val="000000" w:themeColor="text1"/>
              </w:rPr>
              <w:t>提供以上主试剂产品2019年以来省内三甲医疗机构业绩证明，每提供1家三甲医院业绩证明得1分，最多得6分。</w:t>
            </w:r>
          </w:p>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注：以下三项材料均可作为依据：</w:t>
            </w:r>
          </w:p>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1.合同复印件；</w:t>
            </w:r>
          </w:p>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2.中标（成交/中选）通知书；</w:t>
            </w:r>
          </w:p>
          <w:p>
            <w:pPr>
              <w:pStyle w:val="2"/>
              <w:rPr>
                <w:color w:val="000000" w:themeColor="text1"/>
              </w:rPr>
            </w:pPr>
            <w:r>
              <w:rPr>
                <w:rFonts w:hint="eastAsia" w:ascii="宋体" w:hAnsi="宋体" w:cs="Segoe UI"/>
                <w:color w:val="000000" w:themeColor="text1"/>
                <w:kern w:val="0"/>
              </w:rPr>
              <w:t>3.发票复印件（若发票复印件上无产品明细则需附销货清单）</w:t>
            </w:r>
          </w:p>
        </w:tc>
        <w:tc>
          <w:tcPr>
            <w:tcW w:w="554" w:type="pct"/>
            <w:vAlign w:val="center"/>
          </w:tcPr>
          <w:p>
            <w:pPr>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4" w:type="pct"/>
            <w:vMerge w:val="continue"/>
            <w:vAlign w:val="center"/>
          </w:tcPr>
          <w:p>
            <w:pPr>
              <w:widowControl/>
              <w:wordWrap w:val="0"/>
              <w:spacing w:line="270" w:lineRule="atLeast"/>
              <w:jc w:val="center"/>
              <w:rPr>
                <w:rFonts w:ascii="宋体" w:hAnsi="宋体" w:cs="Segoe UI"/>
                <w:color w:val="000000" w:themeColor="text1"/>
                <w:kern w:val="0"/>
              </w:rPr>
            </w:pPr>
          </w:p>
        </w:tc>
        <w:tc>
          <w:tcPr>
            <w:tcW w:w="701" w:type="pct"/>
            <w:vMerge w:val="continue"/>
            <w:vAlign w:val="center"/>
          </w:tcPr>
          <w:p>
            <w:pPr>
              <w:widowControl/>
              <w:wordWrap w:val="0"/>
              <w:spacing w:line="270" w:lineRule="atLeast"/>
              <w:jc w:val="center"/>
              <w:rPr>
                <w:rFonts w:ascii="宋体" w:hAnsi="宋体" w:cs="Segoe UI"/>
                <w:color w:val="000000" w:themeColor="text1"/>
                <w:kern w:val="0"/>
              </w:rPr>
            </w:pPr>
          </w:p>
        </w:tc>
        <w:tc>
          <w:tcPr>
            <w:tcW w:w="338" w:type="pct"/>
            <w:vAlign w:val="center"/>
          </w:tcPr>
          <w:p>
            <w:pPr>
              <w:widowControl/>
              <w:spacing w:line="320" w:lineRule="atLeast"/>
              <w:ind w:left="-105" w:right="-107"/>
              <w:jc w:val="center"/>
              <w:rPr>
                <w:rFonts w:ascii="宋体" w:hAnsi="宋体" w:cs="Segoe UI"/>
                <w:color w:val="000000" w:themeColor="text1"/>
                <w:kern w:val="0"/>
              </w:rPr>
            </w:pPr>
            <w:r>
              <w:rPr>
                <w:rFonts w:hint="eastAsia" w:ascii="宋体" w:hAnsi="宋体" w:cs="Segoe UI"/>
                <w:color w:val="000000" w:themeColor="text1"/>
                <w:kern w:val="0"/>
              </w:rPr>
              <w:t>30分</w:t>
            </w:r>
          </w:p>
        </w:tc>
        <w:tc>
          <w:tcPr>
            <w:tcW w:w="3053" w:type="pct"/>
            <w:vAlign w:val="center"/>
          </w:tcPr>
          <w:p>
            <w:pPr>
              <w:widowControl/>
              <w:numPr>
                <w:ilvl w:val="0"/>
                <w:numId w:val="1"/>
              </w:numPr>
              <w:wordWrap w:val="0"/>
              <w:spacing w:line="270" w:lineRule="atLeast"/>
              <w:rPr>
                <w:rFonts w:ascii="宋体" w:hAnsi="宋体" w:cs="Segoe UI"/>
                <w:color w:val="000000" w:themeColor="text1"/>
                <w:kern w:val="0"/>
              </w:rPr>
            </w:pPr>
            <w:r>
              <w:rPr>
                <w:rFonts w:hint="eastAsia" w:ascii="宋体" w:hAnsi="宋体" w:cs="Segoe UI"/>
                <w:color w:val="000000" w:themeColor="text1"/>
                <w:kern w:val="0"/>
              </w:rPr>
              <w:t>完全满足技术服务要求中“检验仪器性能要求”得30分；</w:t>
            </w:r>
          </w:p>
          <w:p>
            <w:pPr>
              <w:widowControl/>
              <w:numPr>
                <w:ilvl w:val="0"/>
                <w:numId w:val="1"/>
              </w:numPr>
              <w:wordWrap w:val="0"/>
              <w:spacing w:line="270" w:lineRule="atLeast"/>
              <w:rPr>
                <w:rFonts w:ascii="宋体" w:hAnsi="宋体" w:cs="Segoe UI"/>
                <w:color w:val="000000" w:themeColor="text1"/>
                <w:kern w:val="0"/>
              </w:rPr>
            </w:pPr>
            <w:r>
              <w:rPr>
                <w:rFonts w:hint="eastAsia" w:ascii="宋体" w:hAnsi="宋体" w:cs="Segoe UI"/>
                <w:color w:val="000000" w:themeColor="text1"/>
                <w:kern w:val="0"/>
              </w:rPr>
              <w:t>“</w:t>
            </w:r>
            <w:r>
              <w:rPr>
                <w:rFonts w:hint="eastAsia" w:ascii="宋体" w:hAnsi="宋体" w:cs="仿宋"/>
                <w:color w:val="000000" w:themeColor="text1"/>
                <w:sz w:val="24"/>
              </w:rPr>
              <w:t>★</w:t>
            </w:r>
            <w:r>
              <w:rPr>
                <w:rFonts w:hint="eastAsia" w:ascii="宋体" w:hAnsi="宋体" w:cs="Segoe UI"/>
                <w:color w:val="000000" w:themeColor="text1"/>
                <w:kern w:val="0"/>
              </w:rPr>
              <w:t>”条款（共3项）技术参数与磋商文件要求有负偏离的，一项扣6分；非“</w:t>
            </w:r>
            <w:r>
              <w:rPr>
                <w:rFonts w:hint="eastAsia" w:ascii="宋体" w:hAnsi="宋体" w:cs="仿宋"/>
                <w:color w:val="000000" w:themeColor="text1"/>
                <w:sz w:val="24"/>
              </w:rPr>
              <w:t>★</w:t>
            </w:r>
            <w:r>
              <w:rPr>
                <w:rFonts w:hint="eastAsia" w:ascii="宋体" w:hAnsi="宋体" w:cs="Segoe UI"/>
                <w:color w:val="000000" w:themeColor="text1"/>
                <w:kern w:val="0"/>
              </w:rPr>
              <w:t>”条款（共4项）有一项不满足扣3分，扣完为止。</w:t>
            </w:r>
          </w:p>
        </w:tc>
        <w:tc>
          <w:tcPr>
            <w:tcW w:w="554" w:type="pct"/>
            <w:vAlign w:val="center"/>
          </w:tcPr>
          <w:p>
            <w:pPr>
              <w:widowControl/>
              <w:wordWrap w:val="0"/>
              <w:jc w:val="left"/>
              <w:rPr>
                <w:rFonts w:ascii="宋体" w:hAnsi="宋体" w:cs="Segoe UI"/>
                <w:color w:val="000000" w:themeColor="text1"/>
                <w:kern w:val="0"/>
              </w:rPr>
            </w:pPr>
            <w:r>
              <w:rPr>
                <w:rFonts w:hint="eastAsia" w:ascii="宋体" w:hAnsi="宋体" w:cs="Segoe UI"/>
                <w:color w:val="000000" w:themeColor="text1"/>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54" w:type="pc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4</w:t>
            </w:r>
          </w:p>
        </w:tc>
        <w:tc>
          <w:tcPr>
            <w:tcW w:w="701" w:type="pc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售后服务</w:t>
            </w:r>
          </w:p>
        </w:tc>
        <w:tc>
          <w:tcPr>
            <w:tcW w:w="338" w:type="pct"/>
            <w:vAlign w:val="center"/>
          </w:tcPr>
          <w:p>
            <w:pPr>
              <w:spacing w:line="320" w:lineRule="atLeast"/>
              <w:ind w:left="-105" w:right="-107"/>
              <w:jc w:val="center"/>
              <w:rPr>
                <w:rFonts w:ascii="宋体" w:hAnsi="宋体" w:cs="Segoe UI"/>
                <w:color w:val="000000" w:themeColor="text1"/>
                <w:kern w:val="0"/>
              </w:rPr>
            </w:pPr>
            <w:r>
              <w:rPr>
                <w:rFonts w:hint="eastAsia" w:ascii="宋体" w:hAnsi="宋体" w:cs="Segoe UI"/>
                <w:color w:val="000000" w:themeColor="text1"/>
                <w:kern w:val="0"/>
              </w:rPr>
              <w:t>4分</w:t>
            </w:r>
          </w:p>
        </w:tc>
        <w:tc>
          <w:tcPr>
            <w:tcW w:w="3053" w:type="pct"/>
            <w:vAlign w:val="center"/>
          </w:tcPr>
          <w:p>
            <w:pPr>
              <w:widowControl/>
              <w:wordWrap w:val="0"/>
              <w:jc w:val="left"/>
              <w:rPr>
                <w:rFonts w:ascii="宋体" w:hAnsi="宋体" w:cs="Segoe UI"/>
                <w:color w:val="000000" w:themeColor="text1"/>
                <w:kern w:val="0"/>
              </w:rPr>
            </w:pPr>
            <w:r>
              <w:rPr>
                <w:rFonts w:hint="eastAsia" w:ascii="宋体" w:hAnsi="宋体" w:cs="Segoe UI"/>
                <w:color w:val="000000" w:themeColor="text1"/>
                <w:kern w:val="0"/>
              </w:rPr>
              <w:t>根据供应商提供的售后服务方案，包含：①售后服务承诺；②缺货应急方案；③产品彩页介绍；④检验仪器巡检维保方案等四个方面进行评审，四个方面提供完整且描述详细，符合本项目实际情况、有利于项目实施的得4分；每缺少一项或提供的方案与本项目无关的扣1分；每有一项存在缺陷或漏洞的，且不利于项目实施的扣0.5分，分值扣完为止。</w:t>
            </w:r>
          </w:p>
        </w:tc>
        <w:tc>
          <w:tcPr>
            <w:tcW w:w="554" w:type="pct"/>
            <w:vAlign w:val="center"/>
          </w:tcPr>
          <w:p>
            <w:pPr>
              <w:widowControl/>
              <w:wordWrap w:val="0"/>
              <w:jc w:val="left"/>
              <w:rPr>
                <w:rFonts w:ascii="宋体" w:hAnsi="宋体" w:cs="Segoe UI"/>
                <w:color w:val="000000" w:themeColor="text1"/>
                <w:kern w:val="0"/>
              </w:rPr>
            </w:pPr>
            <w:r>
              <w:rPr>
                <w:rFonts w:hint="eastAsia" w:ascii="宋体" w:hAnsi="宋体" w:cs="Segoe UI"/>
                <w:color w:val="000000" w:themeColor="text1"/>
                <w:kern w:val="0"/>
              </w:rPr>
              <w:t>共同评分因素</w:t>
            </w:r>
          </w:p>
        </w:tc>
      </w:tr>
    </w:tbl>
    <w:p>
      <w:pPr>
        <w:widowControl/>
        <w:shd w:val="clear" w:color="auto" w:fill="FFFFFF"/>
        <w:wordWrap w:val="0"/>
        <w:jc w:val="left"/>
        <w:rPr>
          <w:rFonts w:cs="Segoe UI" w:asciiTheme="majorEastAsia" w:hAnsiTheme="majorEastAsia" w:eastAsiaTheme="majorEastAsia"/>
          <w:b/>
          <w:bCs/>
          <w:kern w:val="0"/>
          <w:sz w:val="28"/>
          <w:szCs w:val="28"/>
        </w:rPr>
      </w:pPr>
    </w:p>
    <w:p>
      <w:pPr>
        <w:widowControl/>
        <w:shd w:val="clear" w:color="auto" w:fill="FFFFFF"/>
        <w:wordWrap w:val="0"/>
        <w:jc w:val="left"/>
        <w:rPr>
          <w:rFonts w:cs="Segoe UI" w:asciiTheme="majorEastAsia" w:hAnsiTheme="majorEastAsia" w:eastAsiaTheme="majorEastAsia"/>
          <w:b/>
          <w:bCs/>
          <w:kern w:val="0"/>
          <w:sz w:val="28"/>
          <w:szCs w:val="28"/>
        </w:rPr>
      </w:pP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16、售后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偏离表</w:t>
      </w:r>
    </w:p>
    <w:tbl>
      <w:tblPr>
        <w:tblStyle w:val="8"/>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fill="FFFFFF"/>
        <w:wordWrap w:val="0"/>
        <w:spacing w:line="270" w:lineRule="atLeast"/>
        <w:ind w:firstLine="36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8"/>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bookmarkStart w:id="1" w:name="_Toc95295163"/>
      <w:bookmarkEnd w:id="1"/>
      <w:r>
        <w:rPr>
          <w:rFonts w:hint="eastAsia" w:ascii="仿宋_GB2312" w:hAnsi="Segoe UI" w:eastAsia="仿宋_GB2312" w:cs="Segoe UI"/>
          <w:b/>
          <w:bCs/>
          <w:color w:val="000000" w:themeColor="text1"/>
          <w:kern w:val="0"/>
          <w:sz w:val="24"/>
          <w:szCs w:val="24"/>
        </w:rPr>
        <w:t>附件4-3：</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品目及报价表</w:t>
      </w:r>
    </w:p>
    <w:tbl>
      <w:tblPr>
        <w:tblStyle w:val="8"/>
        <w:tblW w:w="14254"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971"/>
        <w:gridCol w:w="1373"/>
        <w:gridCol w:w="848"/>
        <w:gridCol w:w="672"/>
      </w:tblGrid>
      <w:tr>
        <w:tblPrEx>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预估年度测试数</w:t>
            </w: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成交总价（元）（按预估年度测试数计算）</w:t>
            </w:r>
          </w:p>
        </w:tc>
        <w:tc>
          <w:tcPr>
            <w:tcW w:w="137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四川省药械集中采购及医药价格监管平台耗材商品代码（挂网流水号）</w:t>
            </w:r>
          </w:p>
        </w:tc>
        <w:tc>
          <w:tcPr>
            <w:tcW w:w="848"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hint="default"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672"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28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373"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848" w:type="dxa"/>
            <w:tcBorders>
              <w:top w:val="nil"/>
              <w:left w:val="nil"/>
              <w:bottom w:val="single" w:color="auto" w:sz="8" w:space="0"/>
              <w:right w:val="single" w:color="auto" w:sz="8"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c>
          <w:tcPr>
            <w:tcW w:w="672" w:type="dxa"/>
            <w:tcBorders>
              <w:top w:val="nil"/>
              <w:left w:val="nil"/>
              <w:bottom w:val="single" w:color="auto" w:sz="8" w:space="0"/>
              <w:right w:val="single" w:color="auto" w:sz="8"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2030"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281" w:type="dxa"/>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373"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848" w:type="dxa"/>
            <w:tcBorders>
              <w:top w:val="nil"/>
              <w:left w:val="nil"/>
              <w:bottom w:val="single" w:color="auto" w:sz="4" w:space="0"/>
              <w:right w:val="single" w:color="auto" w:sz="8"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c>
          <w:tcPr>
            <w:tcW w:w="672" w:type="dxa"/>
            <w:tcBorders>
              <w:top w:val="nil"/>
              <w:left w:val="nil"/>
              <w:bottom w:val="single" w:color="auto" w:sz="4" w:space="0"/>
              <w:right w:val="single" w:color="auto" w:sz="8"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203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28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3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r>
    </w:tbl>
    <w:p>
      <w:pPr>
        <w:widowControl/>
        <w:shd w:val="clear" w:color="auto" w:fill="FFFFFF"/>
        <w:wordWrap w:val="0"/>
        <w:jc w:val="left"/>
        <w:rPr>
          <w:rFonts w:ascii="仿宋_GB2312" w:hAnsi="Segoe UI" w:eastAsia="仿宋_GB2312" w:cs="Segoe UI"/>
          <w:color w:val="000000" w:themeColor="text1"/>
          <w:kern w:val="0"/>
          <w:sz w:val="24"/>
          <w:szCs w:val="24"/>
        </w:rPr>
      </w:pP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w:t>
      </w:r>
      <w:bookmarkStart w:id="2" w:name="_GoBack"/>
      <w:bookmarkEnd w:id="2"/>
      <w:r>
        <w:rPr>
          <w:rFonts w:hint="eastAsia" w:ascii="仿宋_GB2312" w:hAnsi="Segoe UI" w:eastAsia="仿宋_GB2312" w:cs="Segoe UI"/>
          <w:color w:val="000000" w:themeColor="text1"/>
          <w:kern w:val="0"/>
          <w:sz w:val="24"/>
          <w:szCs w:val="24"/>
        </w:rPr>
        <w:t>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宋体" w:hAnsi="宋体" w:eastAsia="宋体" w:cs="Segoe UI"/>
          <w:color w:val="000000" w:themeColor="text1"/>
          <w:kern w:val="0"/>
          <w:sz w:val="24"/>
          <w:szCs w:val="24"/>
        </w:rPr>
      </w:pPr>
      <w:r>
        <w:rPr>
          <w:rFonts w:hint="eastAsia" w:ascii="仿宋_GB2312" w:hAnsi="Segoe UI" w:eastAsia="仿宋_GB2312" w:cs="Segoe UI"/>
          <w:color w:val="000000" w:themeColor="text1"/>
          <w:kern w:val="0"/>
          <w:sz w:val="24"/>
          <w:szCs w:val="24"/>
        </w:rPr>
        <w:t>六、采购物资名称：</w:t>
      </w: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6</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2"/>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2"/>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2"/>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2"/>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2"/>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8"/>
          <w:szCs w:val="28"/>
        </w:rPr>
      </w:pPr>
      <w:r>
        <w:rPr>
          <w:rFonts w:hint="eastAsia" w:ascii="仿宋_GB2312" w:hAnsi="仿宋_GB2312" w:eastAsia="仿宋_GB2312" w:cs="仿宋_GB2312"/>
          <w:sz w:val="28"/>
          <w:szCs w:val="28"/>
          <w:lang w:val="en-US" w:eastAsia="zh-CN"/>
        </w:rPr>
        <w:t>日期：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7205"/>
    <w:multiLevelType w:val="singleLevel"/>
    <w:tmpl w:val="0CF2720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49F0"/>
    <w:rsid w:val="000D51C8"/>
    <w:rsid w:val="000D5C22"/>
    <w:rsid w:val="000F15ED"/>
    <w:rsid w:val="000F2C83"/>
    <w:rsid w:val="000F6C4B"/>
    <w:rsid w:val="00121958"/>
    <w:rsid w:val="0015585F"/>
    <w:rsid w:val="00155BC2"/>
    <w:rsid w:val="00161674"/>
    <w:rsid w:val="00162B49"/>
    <w:rsid w:val="00164168"/>
    <w:rsid w:val="00186325"/>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3D7"/>
    <w:rsid w:val="003E665F"/>
    <w:rsid w:val="003F176C"/>
    <w:rsid w:val="00406001"/>
    <w:rsid w:val="00434647"/>
    <w:rsid w:val="004850A0"/>
    <w:rsid w:val="004858FC"/>
    <w:rsid w:val="004A1DE7"/>
    <w:rsid w:val="004A2082"/>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851F9"/>
    <w:rsid w:val="006A56E6"/>
    <w:rsid w:val="006A7032"/>
    <w:rsid w:val="006D2087"/>
    <w:rsid w:val="006D28BF"/>
    <w:rsid w:val="006E17CC"/>
    <w:rsid w:val="006E6BF8"/>
    <w:rsid w:val="006F1D17"/>
    <w:rsid w:val="006F4692"/>
    <w:rsid w:val="007253BB"/>
    <w:rsid w:val="00741E5D"/>
    <w:rsid w:val="00742662"/>
    <w:rsid w:val="00750633"/>
    <w:rsid w:val="00751F96"/>
    <w:rsid w:val="0076295F"/>
    <w:rsid w:val="00770044"/>
    <w:rsid w:val="00786FE7"/>
    <w:rsid w:val="00791562"/>
    <w:rsid w:val="00796FF5"/>
    <w:rsid w:val="007A5851"/>
    <w:rsid w:val="007E11FD"/>
    <w:rsid w:val="007E4559"/>
    <w:rsid w:val="007E77B5"/>
    <w:rsid w:val="008062CE"/>
    <w:rsid w:val="00811EB2"/>
    <w:rsid w:val="0082423B"/>
    <w:rsid w:val="00825C34"/>
    <w:rsid w:val="0086528E"/>
    <w:rsid w:val="00874646"/>
    <w:rsid w:val="008822B5"/>
    <w:rsid w:val="008901D0"/>
    <w:rsid w:val="008B5574"/>
    <w:rsid w:val="008D1D02"/>
    <w:rsid w:val="008D3189"/>
    <w:rsid w:val="008E10FB"/>
    <w:rsid w:val="008E1E35"/>
    <w:rsid w:val="008F102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B50EC"/>
    <w:rsid w:val="00AD55E2"/>
    <w:rsid w:val="00AF07A7"/>
    <w:rsid w:val="00B20393"/>
    <w:rsid w:val="00B228A5"/>
    <w:rsid w:val="00B35C7B"/>
    <w:rsid w:val="00B3676A"/>
    <w:rsid w:val="00B51372"/>
    <w:rsid w:val="00B5786B"/>
    <w:rsid w:val="00B70FF7"/>
    <w:rsid w:val="00BA3D43"/>
    <w:rsid w:val="00BB0CDF"/>
    <w:rsid w:val="00BE3FF0"/>
    <w:rsid w:val="00BF77A1"/>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6E70"/>
    <w:rsid w:val="00DA7B43"/>
    <w:rsid w:val="00DC46DF"/>
    <w:rsid w:val="00DD1D05"/>
    <w:rsid w:val="00DE770F"/>
    <w:rsid w:val="00DF55ED"/>
    <w:rsid w:val="00E023C8"/>
    <w:rsid w:val="00E07DF4"/>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2DAA"/>
    <w:rsid w:val="00FB7812"/>
    <w:rsid w:val="00FB78A5"/>
    <w:rsid w:val="00FE5E1A"/>
    <w:rsid w:val="00FE68DB"/>
    <w:rsid w:val="04D14AC5"/>
    <w:rsid w:val="04FF1778"/>
    <w:rsid w:val="0939427D"/>
    <w:rsid w:val="0B035DF3"/>
    <w:rsid w:val="0E1E6DA0"/>
    <w:rsid w:val="0EF6796D"/>
    <w:rsid w:val="1A3D0D9C"/>
    <w:rsid w:val="235632C3"/>
    <w:rsid w:val="264D7A9F"/>
    <w:rsid w:val="272332A4"/>
    <w:rsid w:val="27994EB5"/>
    <w:rsid w:val="34BD0A25"/>
    <w:rsid w:val="440A651B"/>
    <w:rsid w:val="47CB3CB6"/>
    <w:rsid w:val="4C2F3C73"/>
    <w:rsid w:val="598F0681"/>
    <w:rsid w:val="5E0B7A06"/>
    <w:rsid w:val="5EE457B5"/>
    <w:rsid w:val="609C4295"/>
    <w:rsid w:val="69C46DFF"/>
    <w:rsid w:val="70136FDB"/>
    <w:rsid w:val="7FCF64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semiHidden/>
    <w:unhideWhenUsed/>
    <w:uiPriority w:val="99"/>
    <w:pPr>
      <w:spacing w:after="120"/>
    </w:pPr>
  </w:style>
  <w:style w:type="paragraph" w:styleId="4">
    <w:name w:val="Normal Indent"/>
    <w:basedOn w:val="1"/>
    <w:link w:val="17"/>
    <w:qFormat/>
    <w:uiPriority w:val="0"/>
    <w:pPr>
      <w:spacing w:line="360" w:lineRule="auto"/>
      <w:ind w:firstLine="420" w:firstLineChars="200"/>
    </w:pPr>
    <w:rPr>
      <w:rFonts w:ascii="Times New Roman" w:hAnsi="Times New Roman" w:eastAsia="宋体" w:cs="Times New Roman"/>
      <w:szCs w:val="24"/>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paragraph" w:customStyle="1" w:styleId="13">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4">
    <w:name w:val="List Paragraph"/>
    <w:basedOn w:val="1"/>
    <w:qFormat/>
    <w:uiPriority w:val="34"/>
    <w:pPr>
      <w:ind w:firstLine="420" w:firstLineChars="200"/>
    </w:pPr>
  </w:style>
  <w:style w:type="paragraph" w:customStyle="1" w:styleId="15">
    <w:name w:val="Char"/>
    <w:basedOn w:val="1"/>
    <w:qFormat/>
    <w:uiPriority w:val="0"/>
    <w:rPr>
      <w:rFonts w:ascii="Tahoma" w:hAnsi="Tahoma" w:eastAsia="宋体" w:cs="Times New Roman"/>
      <w:sz w:val="30"/>
      <w:szCs w:val="30"/>
    </w:rPr>
  </w:style>
  <w:style w:type="character" w:customStyle="1" w:styleId="16">
    <w:name w:val="标题 2 Char"/>
    <w:basedOn w:val="10"/>
    <w:link w:val="3"/>
    <w:qFormat/>
    <w:uiPriority w:val="0"/>
    <w:rPr>
      <w:rFonts w:ascii="Arial" w:hAnsi="Arial" w:eastAsia="黑体" w:cs="Times New Roman"/>
      <w:b/>
      <w:bCs/>
      <w:sz w:val="32"/>
      <w:szCs w:val="32"/>
    </w:rPr>
  </w:style>
  <w:style w:type="character" w:customStyle="1" w:styleId="17">
    <w:name w:val="正文缩进 Char"/>
    <w:link w:val="4"/>
    <w:qFormat/>
    <w:uiPriority w:val="0"/>
    <w:rPr>
      <w:rFonts w:ascii="Times New Roman" w:hAnsi="Times New Roman" w:eastAsia="宋体" w:cs="Times New Roman"/>
      <w:kern w:val="2"/>
      <w:sz w:val="21"/>
      <w:szCs w:val="24"/>
    </w:rPr>
  </w:style>
  <w:style w:type="character" w:customStyle="1" w:styleId="18">
    <w:name w:val="正文文本 Char"/>
    <w:basedOn w:val="10"/>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1438</Words>
  <Characters>8203</Characters>
  <Lines>68</Lines>
  <Paragraphs>19</Paragraphs>
  <TotalTime>3</TotalTime>
  <ScaleCrop>false</ScaleCrop>
  <LinksUpToDate>false</LinksUpToDate>
  <CharactersWithSpaces>9622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Administrator</cp:lastModifiedBy>
  <cp:lastPrinted>2021-01-04T11:22:00Z</cp:lastPrinted>
  <dcterms:modified xsi:type="dcterms:W3CDTF">2022-06-02T09:19:05Z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