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276"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附件1:采购项目要求</w:t>
      </w:r>
    </w:p>
    <w:p>
      <w:pPr>
        <w:pStyle w:val="3"/>
        <w:numPr>
          <w:ilvl w:val="0"/>
          <w:numId w:val="2"/>
        </w:numPr>
        <w:spacing w:line="276" w:lineRule="auto"/>
        <w:ind w:firstLine="236"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全院</w:t>
      </w:r>
      <w:r>
        <w:rPr>
          <w:rFonts w:hint="eastAsia" w:asciiTheme="minorEastAsia" w:hAnsiTheme="minorEastAsia" w:eastAsiaTheme="minorEastAsia" w:cstheme="minorEastAsia"/>
          <w:sz w:val="24"/>
          <w:szCs w:val="24"/>
          <w:lang w:eastAsia="zh-CN"/>
        </w:rPr>
        <w:t>手术器械及电子镜单次维修最高限价及</w:t>
      </w:r>
      <w:r>
        <w:rPr>
          <w:rFonts w:hint="eastAsia" w:asciiTheme="minorEastAsia" w:hAnsiTheme="minorEastAsia" w:eastAsiaTheme="minorEastAsia" w:cstheme="minorEastAsia"/>
          <w:sz w:val="24"/>
          <w:szCs w:val="24"/>
        </w:rPr>
        <w:t>清单：</w:t>
      </w:r>
    </w:p>
    <w:tbl>
      <w:tblPr>
        <w:tblStyle w:val="11"/>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5"/>
        <w:gridCol w:w="2041"/>
        <w:gridCol w:w="1306"/>
        <w:gridCol w:w="4276"/>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序号</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cstheme="minorEastAsia"/>
                <w:b w:val="0"/>
                <w:bCs w:val="0"/>
                <w:i w:val="0"/>
                <w:color w:val="auto"/>
                <w:kern w:val="0"/>
                <w:sz w:val="24"/>
                <w:szCs w:val="24"/>
                <w:u w:val="none"/>
                <w:lang w:val="en-US" w:eastAsia="zh-CN" w:bidi="ar"/>
              </w:rPr>
              <w:t>器械</w:t>
            </w:r>
            <w:r>
              <w:rPr>
                <w:rFonts w:hint="eastAsia" w:asciiTheme="minorEastAsia" w:hAnsiTheme="minorEastAsia" w:eastAsiaTheme="minorEastAsia" w:cstheme="minorEastAsia"/>
                <w:b w:val="0"/>
                <w:bCs w:val="0"/>
                <w:i w:val="0"/>
                <w:color w:val="auto"/>
                <w:kern w:val="0"/>
                <w:sz w:val="24"/>
                <w:szCs w:val="24"/>
                <w:u w:val="none"/>
                <w:lang w:val="en-US" w:eastAsia="zh-CN" w:bidi="ar"/>
              </w:rPr>
              <w:t>名称</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设备型号</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cstheme="minorEastAsia"/>
                <w:b w:val="0"/>
                <w:bCs w:val="0"/>
                <w:i w:val="0"/>
                <w:color w:val="auto"/>
                <w:kern w:val="0"/>
                <w:sz w:val="24"/>
                <w:szCs w:val="24"/>
                <w:u w:val="none"/>
                <w:lang w:val="en-US" w:eastAsia="zh-CN" w:bidi="ar"/>
              </w:rPr>
              <w:t>器械维修等级及维修项目</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cstheme="minorEastAsia"/>
                <w:b w:val="0"/>
                <w:bCs w:val="0"/>
                <w:i w:val="0"/>
                <w:color w:val="auto"/>
                <w:kern w:val="0"/>
                <w:sz w:val="24"/>
                <w:szCs w:val="24"/>
                <w:u w:val="none"/>
                <w:lang w:val="en-US" w:eastAsia="zh-CN" w:bidi="ar"/>
              </w:rPr>
              <w:t>单次维修最高限价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腹腔镜10MM</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1、更换总成和光纤；</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2、更换物镜或目镜；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4、清理及调整光学系统；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6、重新校对图像；</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7、密封内窥镜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1、1、更换总成和光纤；</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2、更换物镜或目镜；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4、清理及调整光学系统；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6、重新校对图像；</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7、密封内窥镜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小儿腹腔镜/宫腔镜/膀胱镜/电切镜/耳、鼻内镜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1、更换总成和光纤；</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2、更换物镜或目镜；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4、清理及调整光学系统；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6、重新校对图像；</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7、密封内窥镜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1、1、更换总成和光纤；</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2、更换物镜或目镜；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4、清理及调整光学系统；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6、重新校对图像；</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7、密封内窥镜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腹腔镜10MM/小儿腹腔镜/宫腔镜/膀胱镜/电切镜/耳、鼻内镜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1、更换物镜或更换目镜；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 xml:space="preserve">4、重新校对图像；  </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1、更换物镜或更换目镜；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 xml:space="preserve">4、重新校对图像；  </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4</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腹腔镜10MM/小儿腹腔镜/宫腔镜/膀胱镜/电切镜/耳、鼻内镜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 xml:space="preserve">4、重新校对图像；   </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 xml:space="preserve">4、重新校对图像；   </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单孔腹腔镜/支气管镜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1、更换总成和光纤；</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2、更换物镜或目镜；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4、清理及调整光学系统；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6、重新校对图像；</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7、密封内窥镜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单孔腹腔镜/支气管镜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1、更换物镜或更换目镜；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 xml:space="preserve">4、重新校对图像；  </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单孔腹腔镜/支气管镜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 xml:space="preserve">4、重新校对图像；   </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8</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输尿管硬镜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1、更换物镜和光学系统；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 更换管子总成及像纤；</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4、调校目镜组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5、重新校对图像；</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6、密封内窥镜。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9</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经皮肾镜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1、更换总成和光纤；</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2、更换物镜；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4、清理及调整光学系统；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6、重新校对图像；</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7、密封内窥镜。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经皮肾镜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1、更换物镜；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4、调校目镜组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5、重新校对图像；</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6、密封内窥镜。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经皮肾镜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1、更换物镜；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4、重新校对图像；</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12</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腹腔镜手术器械：   直/弯/钩剪刀</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B.金属管校正调直+磨刀口</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B.金属管校正调直+磨刀口</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13</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腹腔镜手术器械：穿刺器、钛夹钳、施夹器、持针钳分离钳、抓钳、取石钳、冲吸器、造影钳、活检钳、撑开器、扇形钳、打结钳、切开刀、气腹针</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B.金属管校正调直+整形钳口</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B.金属管校正调直+整形钳口</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14</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腹腔镜手术器械：电钩、电棒、电铲、电针</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A.全拆维修+更换绝缘层+导电接头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B.更换导电接头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A.全拆维修+更换绝缘层+导电接头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B.更换导电接头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15</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腹腔镜手术器械：双极电凝钳/百克钳/百科剪</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A.全拆维修+钳口+钳芯绝缘隔套+手柄线缆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B.更换内部线、连接销/片，钳芯绝缘隔套</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C.维修手柄线缆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D.激光焊接连接销</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A.全拆维修+钳口+钳芯绝缘隔套+手柄线缆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B.更换内部线、连接销/片，钳芯绝缘隔套</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C.维修手柄线缆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D.激光焊接连接销</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16</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腹腔镜手术器械：单/双极电凝线</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A.维修断裂线缆+导电头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B.更换导电头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C.维修断裂线缆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A.维修断裂线缆+导电头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B.更换导电头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C.维修断裂线缆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17</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腹腔镜手术器械：等离子电切线</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A.维修断裂线缆+导电头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B.更换导电头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C.维修断裂线缆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A.维修断裂线缆+导电头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B.更换导电头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C.维修断裂线缆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18</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宫腔镜镜手术器械：异物钳、剪刀、活检钳、抓钳、宫颈钳/连接器、子宫切除器、</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B.金属管校正调直+磨刀口</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B.金属管校正调直+磨刀口</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19</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电切操作手件</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A.全拆维修+配件更换+部件加工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B.电极绝缘维修+部件加工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C.连接螺柱更换</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D.金属管管校正调直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A.全拆维修+配件更换+部件加工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B.电极绝缘维修+部件加工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C.连接螺柱更换</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D.金属管管校正调直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20</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内/外鞘</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A.全拆维修+配件更换+部件加工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B.更换陶瓷头(或阀门）+部件加工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C.连接螺柱更换</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D.金属管校正调直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A.全拆维修+配件更换+部件加工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B.更换陶瓷头(或阀门）+部件加工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C.连接螺柱更换</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D.金属管校正调直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21</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膀胱镜/输尿管镜手术器械：活检钳、剪刀、异物钳、抓钳、髓核钳</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B.金属管校正调直+磨刀口</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B.金属管校正调直+磨刀口</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22</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五官科手术器械：组织剪/钳、咬骨钳、异物钳、息肉剪/钳、开放钳、咬切钳、肺叶钳、造影钳、打结钳、扇形钳</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导光束</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维修导光束断裂</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1500</w:t>
            </w:r>
          </w:p>
        </w:tc>
      </w:tr>
    </w:tbl>
    <w:p>
      <w:pPr>
        <w:rPr>
          <w:rFonts w:hint="eastAsia" w:asciiTheme="minorEastAsia" w:hAnsiTheme="minorEastAsia" w:eastAsiaTheme="minorEastAsia" w:cstheme="minorEastAsia"/>
          <w:sz w:val="24"/>
          <w:szCs w:val="24"/>
        </w:rPr>
      </w:pPr>
    </w:p>
    <w:p>
      <w:pPr>
        <w:numPr>
          <w:ilvl w:val="0"/>
          <w:numId w:val="0"/>
        </w:numPr>
        <w:ind w:leftChars="98"/>
        <w:rPr>
          <w:rFonts w:hint="eastAsia"/>
        </w:rPr>
      </w:pPr>
    </w:p>
    <w:p>
      <w:pPr>
        <w:pStyle w:val="3"/>
        <w:spacing w:line="276" w:lineRule="auto"/>
        <w:ind w:firstLine="236"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）商务要求：“</w:t>
      </w:r>
      <w:bookmarkStart w:id="1" w:name="_GoBack"/>
      <w:r>
        <w:rPr>
          <w:rFonts w:hint="eastAsia" w:ascii="宋体" w:hAnsi="宋体" w:eastAsia="宋体" w:cs="宋体"/>
          <w:sz w:val="24"/>
          <w:szCs w:val="24"/>
          <w:highlight w:val="none"/>
        </w:rPr>
        <w:t>※</w:t>
      </w:r>
      <w:bookmarkEnd w:id="1"/>
      <w:r>
        <w:rPr>
          <w:rFonts w:hint="eastAsia" w:asciiTheme="minorEastAsia" w:hAnsiTheme="minorEastAsia" w:eastAsiaTheme="minorEastAsia" w:cstheme="minorEastAsia"/>
          <w:sz w:val="24"/>
          <w:szCs w:val="24"/>
        </w:rPr>
        <w:t>”的条款为本项目的实质性条款，投标人不满足的，将按照无效投标处理。</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b/>
          <w:bCs/>
          <w:sz w:val="24"/>
          <w:szCs w:val="24"/>
          <w:lang w:val="en-US" w:eastAsia="zh-CN"/>
        </w:rPr>
      </w:pPr>
      <w:r>
        <w:rPr>
          <w:rFonts w:hint="eastAsia" w:ascii="宋体" w:hAnsi="宋体" w:eastAsia="宋体" w:cs="宋体"/>
          <w:sz w:val="24"/>
          <w:szCs w:val="24"/>
        </w:rPr>
        <w:t>※</w:t>
      </w:r>
      <w:r>
        <w:rPr>
          <w:rFonts w:hint="eastAsia" w:asciiTheme="minorEastAsia" w:hAnsiTheme="minorEastAsia" w:cstheme="minorEastAsia"/>
          <w:b w:val="0"/>
          <w:bCs w:val="0"/>
          <w:sz w:val="24"/>
          <w:szCs w:val="24"/>
          <w:lang w:val="en-US" w:eastAsia="zh-CN"/>
        </w:rPr>
        <w:t>1.手术器械维修服务项目年度预算为：300000元/年。</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bCs/>
          <w:sz w:val="24"/>
          <w:szCs w:val="24"/>
        </w:rPr>
      </w:pPr>
      <w:r>
        <w:rPr>
          <w:rFonts w:hint="eastAsia" w:ascii="宋体" w:hAnsi="宋体" w:eastAsia="宋体" w:cs="宋体"/>
          <w:sz w:val="24"/>
          <w:szCs w:val="24"/>
        </w:rPr>
        <w:t>※</w:t>
      </w:r>
      <w:r>
        <w:rPr>
          <w:rFonts w:hint="eastAsia" w:asciiTheme="minorEastAsia" w:hAnsiTheme="minorEastAsia" w:cstheme="minorEastAsia"/>
          <w:bCs/>
          <w:sz w:val="24"/>
          <w:szCs w:val="24"/>
          <w:lang w:val="en-US" w:eastAsia="zh-CN"/>
        </w:rPr>
        <w:t>2</w:t>
      </w:r>
      <w:r>
        <w:rPr>
          <w:rFonts w:hint="eastAsia" w:asciiTheme="minorEastAsia" w:hAnsiTheme="minorEastAsia" w:eastAsiaTheme="minorEastAsia" w:cstheme="minorEastAsia"/>
          <w:bCs/>
          <w:sz w:val="24"/>
          <w:szCs w:val="24"/>
        </w:rPr>
        <w:t>．服务期限及服务地点</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.1 服务期限：</w:t>
      </w:r>
      <w:r>
        <w:rPr>
          <w:rFonts w:hint="eastAsia" w:asciiTheme="minorEastAsia" w:hAnsiTheme="minorEastAsia" w:cstheme="minorEastAsia"/>
          <w:sz w:val="24"/>
          <w:szCs w:val="24"/>
          <w:lang w:eastAsia="zh-CN"/>
        </w:rPr>
        <w:t>三</w:t>
      </w:r>
      <w:r>
        <w:rPr>
          <w:rFonts w:hint="eastAsia" w:asciiTheme="minorEastAsia" w:hAnsiTheme="minorEastAsia" w:eastAsiaTheme="minorEastAsia" w:cstheme="minorEastAsia"/>
          <w:sz w:val="24"/>
          <w:szCs w:val="24"/>
        </w:rPr>
        <w:t>年</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.2 服务地点: </w:t>
      </w:r>
      <w:r>
        <w:rPr>
          <w:rFonts w:hint="eastAsia" w:ascii="Times New Roman" w:hAnsi="宋体"/>
          <w:b w:val="0"/>
          <w:bCs w:val="0"/>
          <w:sz w:val="24"/>
        </w:rPr>
        <w:t>采购人指定地点</w:t>
      </w:r>
      <w:r>
        <w:rPr>
          <w:rFonts w:hint="eastAsia" w:ascii="Times New Roman" w:hAnsi="宋体"/>
          <w:b w:val="0"/>
          <w:bCs w:val="0"/>
          <w:sz w:val="24"/>
          <w:lang w:eastAsia="zh-CN"/>
        </w:rPr>
        <w:t>（包含四川省妇幼保健院本部及天府院区）</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bCs/>
          <w:sz w:val="24"/>
          <w:szCs w:val="24"/>
          <w:lang w:val="en-US" w:eastAsia="zh-CN"/>
        </w:rPr>
      </w:pPr>
      <w:r>
        <w:rPr>
          <w:rFonts w:hint="eastAsia" w:ascii="宋体" w:hAnsi="宋体" w:eastAsia="宋体" w:cs="宋体"/>
          <w:sz w:val="24"/>
          <w:szCs w:val="24"/>
        </w:rPr>
        <w:t>※</w:t>
      </w:r>
      <w:r>
        <w:rPr>
          <w:rFonts w:hint="eastAsia" w:asciiTheme="minorEastAsia" w:hAnsiTheme="minorEastAsia" w:cstheme="minorEastAsia"/>
          <w:bCs/>
          <w:sz w:val="24"/>
          <w:szCs w:val="24"/>
          <w:lang w:val="en-US" w:eastAsia="zh-CN"/>
        </w:rPr>
        <w:t>3</w:t>
      </w:r>
      <w:r>
        <w:rPr>
          <w:rFonts w:hint="eastAsia" w:asciiTheme="minorEastAsia" w:hAnsiTheme="minorEastAsia" w:eastAsiaTheme="minorEastAsia" w:cstheme="minorEastAsia"/>
          <w:bCs/>
          <w:sz w:val="24"/>
          <w:szCs w:val="24"/>
        </w:rPr>
        <w:t>．付款方法和条件：</w:t>
      </w:r>
      <w:r>
        <w:rPr>
          <w:rFonts w:hint="eastAsia" w:asciiTheme="minorEastAsia" w:hAnsiTheme="minorEastAsia"/>
          <w:bCs/>
          <w:sz w:val="24"/>
        </w:rPr>
        <w:t>采购人每</w:t>
      </w:r>
      <w:r>
        <w:rPr>
          <w:rFonts w:hint="eastAsia" w:asciiTheme="minorEastAsia" w:hAnsiTheme="minorEastAsia"/>
          <w:bCs/>
          <w:sz w:val="24"/>
          <w:lang w:eastAsia="zh-CN"/>
        </w:rPr>
        <w:t>季度</w:t>
      </w:r>
      <w:r>
        <w:rPr>
          <w:rFonts w:hint="eastAsia" w:asciiTheme="minorEastAsia" w:hAnsiTheme="minorEastAsia"/>
          <w:bCs/>
          <w:sz w:val="24"/>
        </w:rPr>
        <w:t>根据实际</w:t>
      </w:r>
      <w:r>
        <w:rPr>
          <w:rFonts w:hint="eastAsia" w:asciiTheme="minorEastAsia" w:hAnsiTheme="minorEastAsia"/>
          <w:bCs/>
          <w:sz w:val="24"/>
          <w:lang w:eastAsia="zh-CN"/>
        </w:rPr>
        <w:t>维修</w:t>
      </w:r>
      <w:r>
        <w:rPr>
          <w:rFonts w:hint="eastAsia" w:asciiTheme="minorEastAsia" w:hAnsiTheme="minorEastAsia"/>
          <w:bCs/>
          <w:sz w:val="24"/>
        </w:rPr>
        <w:t>量进行支付结算</w:t>
      </w:r>
      <w:r>
        <w:rPr>
          <w:rFonts w:hint="eastAsia" w:asciiTheme="minorEastAsia" w:hAnsiTheme="minorEastAsia"/>
          <w:bCs/>
          <w:sz w:val="24"/>
          <w:lang w:eastAsia="zh-CN"/>
        </w:rPr>
        <w:t>，</w:t>
      </w:r>
      <w:r>
        <w:rPr>
          <w:rFonts w:hint="eastAsia" w:asciiTheme="minorEastAsia" w:hAnsiTheme="minorEastAsia" w:eastAsiaTheme="minorEastAsia" w:cstheme="minorEastAsia"/>
          <w:bCs/>
          <w:sz w:val="24"/>
          <w:szCs w:val="24"/>
        </w:rPr>
        <w:t>中标人须向采购人出具合法有效完整的完税发票及凭证资</w:t>
      </w:r>
      <w:r>
        <w:rPr>
          <w:rFonts w:hint="eastAsia" w:asciiTheme="minorEastAsia" w:hAnsiTheme="minorEastAsia"/>
          <w:bCs/>
          <w:sz w:val="24"/>
        </w:rPr>
        <w:t>料。</w:t>
      </w:r>
      <w:r>
        <w:rPr>
          <w:rFonts w:hint="eastAsia" w:asciiTheme="minorEastAsia" w:hAnsiTheme="minorEastAsia" w:cstheme="minorEastAsia"/>
          <w:bCs/>
          <w:sz w:val="24"/>
          <w:szCs w:val="24"/>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276" w:lineRule="auto"/>
        <w:ind w:firstLine="0" w:firstLineChars="0"/>
        <w:textAlignment w:val="auto"/>
        <w:outlineLvl w:val="9"/>
        <w:rPr>
          <w:rFonts w:hint="eastAsia" w:asciiTheme="minorEastAsia" w:hAnsiTheme="minorEastAsia" w:eastAsiaTheme="minorEastAsia" w:cstheme="minorEastAsia"/>
          <w:bCs/>
          <w:sz w:val="24"/>
          <w:szCs w:val="24"/>
          <w:lang w:eastAsia="zh-CN"/>
        </w:rPr>
      </w:pPr>
      <w:r>
        <w:rPr>
          <w:rFonts w:hint="eastAsia" w:ascii="宋体" w:hAnsi="宋体" w:eastAsia="宋体" w:cs="宋体"/>
          <w:sz w:val="24"/>
          <w:szCs w:val="24"/>
        </w:rPr>
        <w:t>※</w:t>
      </w: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．报价方式：采用单项报价，各单项限价为各项最高限价，</w:t>
      </w:r>
      <w:r>
        <w:rPr>
          <w:rFonts w:hint="eastAsia" w:asciiTheme="minorEastAsia" w:hAnsiTheme="minorEastAsia" w:cstheme="minorEastAsia"/>
          <w:sz w:val="24"/>
          <w:szCs w:val="24"/>
          <w:highlight w:val="none"/>
          <w:lang w:eastAsia="zh-CN"/>
        </w:rPr>
        <w:t>无报价或</w:t>
      </w:r>
      <w:r>
        <w:rPr>
          <w:rFonts w:hint="eastAsia" w:asciiTheme="minorEastAsia" w:hAnsiTheme="minorEastAsia" w:eastAsiaTheme="minorEastAsia" w:cstheme="minorEastAsia"/>
          <w:bCs/>
          <w:sz w:val="24"/>
          <w:szCs w:val="24"/>
        </w:rPr>
        <w:t>超过各单项最高限价的报价为无效报价；本项目</w:t>
      </w:r>
      <w:r>
        <w:rPr>
          <w:rFonts w:hint="eastAsia" w:asciiTheme="minorEastAsia" w:hAnsiTheme="minorEastAsia" w:eastAsiaTheme="minorEastAsia" w:cstheme="minorEastAsia"/>
          <w:bCs/>
          <w:sz w:val="24"/>
          <w:szCs w:val="24"/>
          <w:lang w:eastAsia="zh-CN"/>
        </w:rPr>
        <w:t>维修</w:t>
      </w:r>
      <w:r>
        <w:rPr>
          <w:rFonts w:hint="eastAsia" w:asciiTheme="minorEastAsia" w:hAnsiTheme="minorEastAsia" w:eastAsiaTheme="minorEastAsia" w:cstheme="minorEastAsia"/>
          <w:bCs/>
          <w:sz w:val="24"/>
          <w:szCs w:val="24"/>
        </w:rPr>
        <w:t>数量，以采购人实际</w:t>
      </w:r>
      <w:r>
        <w:rPr>
          <w:rFonts w:hint="eastAsia" w:asciiTheme="minorEastAsia" w:hAnsiTheme="minorEastAsia" w:eastAsiaTheme="minorEastAsia" w:cstheme="minorEastAsia"/>
          <w:bCs/>
          <w:sz w:val="24"/>
          <w:szCs w:val="24"/>
          <w:lang w:eastAsia="zh-CN"/>
        </w:rPr>
        <w:t>维修</w:t>
      </w:r>
      <w:r>
        <w:rPr>
          <w:rFonts w:hint="eastAsia" w:asciiTheme="minorEastAsia" w:hAnsiTheme="minorEastAsia" w:eastAsiaTheme="minorEastAsia" w:cstheme="minorEastAsia"/>
          <w:bCs/>
          <w:sz w:val="24"/>
          <w:szCs w:val="24"/>
        </w:rPr>
        <w:t>数量结算</w:t>
      </w:r>
      <w:r>
        <w:rPr>
          <w:rFonts w:hint="eastAsia" w:asciiTheme="minorEastAsia" w:hAnsiTheme="minorEastAsia" w:cstheme="minorEastAsia"/>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b w:val="0"/>
          <w:bCs w:val="0"/>
          <w:sz w:val="24"/>
          <w:szCs w:val="24"/>
        </w:rPr>
      </w:pPr>
      <w:r>
        <w:rPr>
          <w:rFonts w:hint="eastAsia" w:ascii="宋体" w:hAnsi="宋体" w:eastAsia="宋体" w:cs="宋体"/>
          <w:sz w:val="24"/>
          <w:szCs w:val="24"/>
        </w:rPr>
        <w:t>※</w:t>
      </w:r>
      <w:r>
        <w:rPr>
          <w:rFonts w:hint="eastAsia" w:asciiTheme="minorEastAsia" w:hAnsi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．考核要求：</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如果采购人对</w:t>
      </w:r>
      <w:r>
        <w:rPr>
          <w:rFonts w:hint="eastAsia" w:asciiTheme="minorEastAsia" w:hAnsiTheme="minorEastAsia" w:eastAsiaTheme="minorEastAsia" w:cstheme="minorEastAsia"/>
          <w:b w:val="0"/>
          <w:bCs w:val="0"/>
          <w:sz w:val="24"/>
          <w:szCs w:val="24"/>
          <w:lang w:eastAsia="zh-CN"/>
        </w:rPr>
        <w:t>中标人</w:t>
      </w:r>
      <w:r>
        <w:rPr>
          <w:rFonts w:hint="eastAsia" w:asciiTheme="minorEastAsia" w:hAnsiTheme="minorEastAsia" w:eastAsiaTheme="minorEastAsia" w:cstheme="minorEastAsia"/>
          <w:b w:val="0"/>
          <w:bCs w:val="0"/>
          <w:sz w:val="24"/>
          <w:szCs w:val="24"/>
        </w:rPr>
        <w:t>维保工作考核不满意，有权随时终止维保合同（考核标准详见后附</w:t>
      </w:r>
      <w:r>
        <w:rPr>
          <w:rFonts w:hint="eastAsia" w:asciiTheme="minorEastAsia" w:hAnsiTheme="minorEastAsia" w:cstheme="minorEastAsia"/>
          <w:b w:val="0"/>
          <w:bCs w:val="0"/>
          <w:sz w:val="24"/>
          <w:szCs w:val="24"/>
          <w:lang w:eastAsia="zh-CN"/>
        </w:rPr>
        <w:t>件</w:t>
      </w:r>
      <w:r>
        <w:rPr>
          <w:rFonts w:hint="eastAsia" w:asciiTheme="minorEastAsia" w:hAnsi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《四川省妇幼保健院医学装备</w:t>
      </w:r>
      <w:r>
        <w:rPr>
          <w:rFonts w:hint="eastAsia" w:asciiTheme="minorEastAsia" w:hAnsiTheme="minorEastAsia" w:cstheme="minorEastAsia"/>
          <w:b w:val="0"/>
          <w:bCs w:val="0"/>
          <w:sz w:val="24"/>
          <w:szCs w:val="24"/>
          <w:lang w:eastAsia="zh-CN"/>
        </w:rPr>
        <w:t>部</w:t>
      </w:r>
      <w:r>
        <w:rPr>
          <w:rFonts w:hint="eastAsia" w:asciiTheme="minorEastAsia" w:hAnsiTheme="minorEastAsia" w:eastAsiaTheme="minorEastAsia" w:cstheme="minorEastAsia"/>
          <w:b w:val="0"/>
          <w:bCs w:val="0"/>
          <w:sz w:val="24"/>
          <w:szCs w:val="24"/>
        </w:rPr>
        <w:t>考核表</w:t>
      </w:r>
      <w:r>
        <w:rPr>
          <w:rFonts w:hint="eastAsia" w:asciiTheme="minorEastAsia" w:hAnsiTheme="minorEastAsia" w:cstheme="minorEastAsia"/>
          <w:b w:val="0"/>
          <w:bCs w:val="0"/>
          <w:sz w:val="24"/>
          <w:szCs w:val="24"/>
          <w:lang w:eastAsia="zh-CN"/>
        </w:rPr>
        <w:t>（维修服务）</w:t>
      </w:r>
      <w:r>
        <w:rPr>
          <w:rFonts w:hint="eastAsia" w:asciiTheme="minorEastAsia" w:hAnsiTheme="minorEastAsia" w:eastAsiaTheme="minorEastAsia" w:cstheme="minorEastAsia"/>
          <w:b w:val="0"/>
          <w:bCs w:val="0"/>
          <w:sz w:val="24"/>
          <w:szCs w:val="24"/>
        </w:rPr>
        <w:t>》。</w:t>
      </w:r>
    </w:p>
    <w:p>
      <w:pPr>
        <w:pStyle w:val="4"/>
        <w:spacing w:line="276" w:lineRule="auto"/>
        <w:ind w:firstLine="0" w:firstLineChars="0"/>
        <w:rPr>
          <w:rFonts w:hint="eastAsia" w:asciiTheme="minorEastAsia" w:hAnsiTheme="minorEastAsia" w:eastAsiaTheme="minorEastAsia" w:cstheme="minorEastAsia"/>
          <w:bCs/>
          <w:sz w:val="24"/>
          <w:szCs w:val="24"/>
          <w:lang w:val="en-US" w:eastAsia="zh-CN"/>
        </w:rPr>
      </w:pPr>
    </w:p>
    <w:p>
      <w:pPr>
        <w:pStyle w:val="3"/>
        <w:spacing w:line="276" w:lineRule="auto"/>
        <w:ind w:firstLine="236"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（四）技术服务要求</w:t>
      </w:r>
    </w:p>
    <w:p>
      <w:pPr>
        <w:pStyle w:val="4"/>
        <w:numPr>
          <w:ilvl w:val="0"/>
          <w:numId w:val="0"/>
        </w:numPr>
        <w:spacing w:line="276" w:lineRule="auto"/>
        <w:rPr>
          <w:rFonts w:hAnsi="宋体"/>
          <w:sz w:val="24"/>
          <w:szCs w:val="24"/>
        </w:rPr>
      </w:pPr>
      <w:r>
        <w:rPr>
          <w:rFonts w:hint="eastAsia" w:hAnsi="宋体"/>
          <w:sz w:val="24"/>
          <w:szCs w:val="24"/>
        </w:rPr>
        <w:t>1.每月进行一次手术器械和内镜常规检查维护，并向科室与设备科提供维护记录（需由科室负责人签字确认）。</w:t>
      </w:r>
    </w:p>
    <w:p>
      <w:pPr>
        <w:spacing w:line="400" w:lineRule="exact"/>
        <w:rPr>
          <w:rFonts w:hAnsi="宋体"/>
          <w:sz w:val="24"/>
          <w:szCs w:val="24"/>
        </w:rPr>
      </w:pPr>
      <w:r>
        <w:rPr>
          <w:rFonts w:hint="eastAsia" w:hAnsi="宋体"/>
          <w:sz w:val="24"/>
          <w:szCs w:val="24"/>
        </w:rPr>
        <w:t>2.接到电话报修时，12小时内现场响应。</w:t>
      </w:r>
    </w:p>
    <w:p>
      <w:pPr>
        <w:spacing w:line="400" w:lineRule="exact"/>
        <w:rPr>
          <w:rFonts w:hAnsi="宋体"/>
          <w:sz w:val="24"/>
          <w:szCs w:val="24"/>
        </w:rPr>
      </w:pPr>
      <w:r>
        <w:rPr>
          <w:rFonts w:hint="eastAsia" w:asciiTheme="minorEastAsia" w:hAnsiTheme="minorEastAsia" w:eastAsiaTheme="minorEastAsia" w:cstheme="minorEastAsia"/>
          <w:b/>
          <w:bCs/>
          <w:sz w:val="24"/>
          <w:szCs w:val="24"/>
        </w:rPr>
        <w:t>*</w:t>
      </w:r>
      <w:r>
        <w:rPr>
          <w:rFonts w:hint="eastAsia" w:hAnsi="宋体"/>
          <w:sz w:val="24"/>
          <w:szCs w:val="24"/>
        </w:rPr>
        <w:t>3.紧急情况下，根据医院手术需求，必须提供备用设备及器械（提供备用清单）。</w:t>
      </w:r>
    </w:p>
    <w:p>
      <w:pPr>
        <w:spacing w:line="400" w:lineRule="exact"/>
        <w:rPr>
          <w:rFonts w:hAnsi="宋体"/>
          <w:sz w:val="24"/>
          <w:szCs w:val="24"/>
        </w:rPr>
      </w:pPr>
      <w:r>
        <w:rPr>
          <w:rFonts w:hint="eastAsia" w:hAnsi="宋体"/>
          <w:sz w:val="24"/>
          <w:szCs w:val="24"/>
        </w:rPr>
        <w:t>4.根据设备的使用情况，每年对操作人员进行不低两次的使用及日常保养培训，并提供相应的培训报告给使用科室及设备科（需由接受培训人员及科室负责人签字确认）。</w:t>
      </w:r>
    </w:p>
    <w:p>
      <w:pPr>
        <w:spacing w:line="400" w:lineRule="exact"/>
        <w:rPr>
          <w:rFonts w:hAnsi="宋体"/>
          <w:sz w:val="24"/>
          <w:szCs w:val="24"/>
        </w:rPr>
      </w:pPr>
      <w:r>
        <w:rPr>
          <w:rFonts w:hint="eastAsia" w:hAnsi="宋体"/>
          <w:sz w:val="24"/>
          <w:szCs w:val="24"/>
        </w:rPr>
        <w:t>5.常规手术器械维修周期不超过5日。</w:t>
      </w:r>
    </w:p>
    <w:p>
      <w:pPr>
        <w:spacing w:line="400" w:lineRule="exact"/>
        <w:rPr>
          <w:rFonts w:hAnsi="宋体"/>
          <w:sz w:val="24"/>
          <w:szCs w:val="24"/>
        </w:rPr>
      </w:pPr>
      <w:r>
        <w:rPr>
          <w:rFonts w:hint="eastAsia" w:asciiTheme="minorEastAsia" w:hAnsiTheme="minorEastAsia" w:eastAsiaTheme="minorEastAsia" w:cstheme="minorEastAsia"/>
          <w:b/>
          <w:bCs/>
          <w:sz w:val="24"/>
          <w:szCs w:val="24"/>
        </w:rPr>
        <w:t>*</w:t>
      </w:r>
      <w:r>
        <w:rPr>
          <w:rFonts w:hint="eastAsia" w:hAnsi="宋体"/>
          <w:sz w:val="24"/>
          <w:szCs w:val="24"/>
        </w:rPr>
        <w:t>6.医用内窥镜维修周期不超过15日</w:t>
      </w:r>
      <w:r>
        <w:rPr>
          <w:rFonts w:hint="eastAsia" w:hAnsi="宋体"/>
          <w:sz w:val="24"/>
          <w:szCs w:val="24"/>
          <w:lang w:eastAsia="zh-CN"/>
        </w:rPr>
        <w:t>（提供承诺函）</w:t>
      </w:r>
      <w:r>
        <w:rPr>
          <w:rFonts w:hint="eastAsia" w:hAnsi="宋体"/>
          <w:sz w:val="24"/>
          <w:szCs w:val="24"/>
        </w:rPr>
        <w:t>。</w:t>
      </w:r>
    </w:p>
    <w:p>
      <w:pPr>
        <w:pStyle w:val="2"/>
        <w:rPr>
          <w:rFonts w:hint="eastAsia" w:hAnsi="宋体"/>
          <w:sz w:val="24"/>
          <w:szCs w:val="24"/>
        </w:rPr>
      </w:pPr>
      <w:r>
        <w:rPr>
          <w:rFonts w:hint="eastAsia" w:asciiTheme="minorEastAsia" w:hAnsiTheme="minorEastAsia" w:eastAsiaTheme="minorEastAsia" w:cstheme="minorEastAsia"/>
          <w:b/>
          <w:bCs/>
          <w:sz w:val="24"/>
          <w:szCs w:val="24"/>
        </w:rPr>
        <w:t>*</w:t>
      </w:r>
      <w:r>
        <w:rPr>
          <w:rFonts w:hint="eastAsia" w:hAnsi="宋体"/>
          <w:sz w:val="24"/>
          <w:szCs w:val="24"/>
        </w:rPr>
        <w:t>7.具备上述所有手术器械与内镜的维修实力，提供承诺书及相关证明</w:t>
      </w:r>
      <w:r>
        <w:rPr>
          <w:rFonts w:hint="eastAsia" w:hAnsi="宋体"/>
          <w:sz w:val="24"/>
          <w:szCs w:val="24"/>
          <w:lang w:eastAsia="zh-CN"/>
        </w:rPr>
        <w:t>（提供相关合同或维修记录单）</w:t>
      </w:r>
      <w:r>
        <w:rPr>
          <w:rFonts w:hint="eastAsia" w:hAnsi="宋体"/>
          <w:sz w:val="24"/>
          <w:szCs w:val="24"/>
        </w:rPr>
        <w:t>。</w:t>
      </w:r>
    </w:p>
    <w:p>
      <w:pPr>
        <w:spacing w:line="400" w:lineRule="exact"/>
        <w:rPr>
          <w:rFonts w:hAnsi="宋体"/>
          <w:sz w:val="24"/>
          <w:szCs w:val="24"/>
        </w:rPr>
      </w:pPr>
      <w:r>
        <w:rPr>
          <w:rFonts w:hint="eastAsia" w:asciiTheme="minorEastAsia" w:hAnsiTheme="minorEastAsia" w:eastAsiaTheme="minorEastAsia" w:cstheme="minorEastAsia"/>
          <w:b/>
          <w:bCs/>
          <w:sz w:val="24"/>
          <w:szCs w:val="24"/>
        </w:rPr>
        <w:t>*</w:t>
      </w:r>
      <w:r>
        <w:rPr>
          <w:rFonts w:hint="eastAsia" w:hAnsi="宋体"/>
          <w:sz w:val="24"/>
          <w:szCs w:val="24"/>
          <w:lang w:val="en-US" w:eastAsia="zh-CN"/>
        </w:rPr>
        <w:t>8.</w:t>
      </w:r>
      <w:r>
        <w:rPr>
          <w:rFonts w:hint="eastAsia" w:hAnsi="宋体"/>
          <w:sz w:val="24"/>
          <w:szCs w:val="24"/>
        </w:rPr>
        <w:t>保修期限：维修更换的配件及维修工艺在正常规范使用情况下出现的质量问题保修不低于六个月，人为损坏除外</w:t>
      </w:r>
      <w:r>
        <w:rPr>
          <w:rFonts w:hint="eastAsia" w:hAnsi="宋体"/>
          <w:sz w:val="24"/>
          <w:szCs w:val="24"/>
          <w:lang w:eastAsia="zh-CN"/>
        </w:rPr>
        <w:t>（提供承诺函）</w:t>
      </w:r>
      <w:r>
        <w:rPr>
          <w:rFonts w:hint="eastAsia" w:hAnsi="宋体"/>
          <w:sz w:val="24"/>
          <w:szCs w:val="24"/>
        </w:rPr>
        <w:t>。</w:t>
      </w:r>
    </w:p>
    <w:p>
      <w:pPr>
        <w:pStyle w:val="4"/>
        <w:numPr>
          <w:ilvl w:val="0"/>
          <w:numId w:val="0"/>
        </w:numPr>
        <w:spacing w:line="276" w:lineRule="auto"/>
        <w:rPr>
          <w:rFonts w:hint="eastAsia" w:asciiTheme="minorEastAsia" w:hAnsiTheme="minorEastAsia" w:eastAsiaTheme="minorEastAsia" w:cstheme="minorEastAsia"/>
          <w:bCs/>
          <w:sz w:val="24"/>
          <w:szCs w:val="24"/>
        </w:rPr>
      </w:pPr>
    </w:p>
    <w:p>
      <w:pPr>
        <w:widowControl/>
        <w:shd w:val="clear" w:color="auto" w:fill="FFFFFF"/>
        <w:wordWrap w:val="0"/>
        <w:spacing w:line="360" w:lineRule="auto"/>
        <w:jc w:val="left"/>
        <w:rPr>
          <w:rFonts w:hint="eastAsia" w:asciiTheme="minorEastAsia" w:hAnsiTheme="minorEastAsia" w:eastAsiaTheme="minorEastAsia" w:cstheme="minorEastAsia"/>
          <w:b/>
          <w:color w:val="333333"/>
          <w:kern w:val="0"/>
          <w:sz w:val="24"/>
          <w:szCs w:val="24"/>
        </w:rPr>
      </w:pPr>
      <w:r>
        <w:rPr>
          <w:rFonts w:hint="eastAsia" w:asciiTheme="minorEastAsia" w:hAnsiTheme="minorEastAsia" w:eastAsiaTheme="minorEastAsia" w:cstheme="minorEastAsia"/>
          <w:b/>
          <w:color w:val="333333"/>
          <w:kern w:val="0"/>
          <w:sz w:val="24"/>
          <w:szCs w:val="24"/>
        </w:rPr>
        <w:t>附件2：综合评分明细表</w:t>
      </w:r>
    </w:p>
    <w:tbl>
      <w:tblPr>
        <w:tblStyle w:val="11"/>
        <w:tblW w:w="9641" w:type="dxa"/>
        <w:jc w:val="center"/>
        <w:tblInd w:w="16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3"/>
        <w:gridCol w:w="1391"/>
        <w:gridCol w:w="750"/>
        <w:gridCol w:w="5004"/>
        <w:gridCol w:w="17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3" w:hRule="atLeast"/>
          <w:jc w:val="center"/>
        </w:trPr>
        <w:tc>
          <w:tcPr>
            <w:tcW w:w="703" w:type="dxa"/>
            <w:tcBorders>
              <w:top w:val="single" w:color="auto" w:sz="12" w:space="0"/>
            </w:tcBorders>
            <w:vAlign w:val="center"/>
          </w:tcPr>
          <w:p>
            <w:pPr>
              <w:spacing w:line="360" w:lineRule="auto"/>
              <w:ind w:left="-2" w:leftChars="-1"/>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91" w:type="dxa"/>
            <w:tcBorders>
              <w:top w:val="single" w:color="auto" w:sz="12" w:space="0"/>
            </w:tcBorders>
            <w:vAlign w:val="center"/>
          </w:tcPr>
          <w:p>
            <w:pPr>
              <w:spacing w:line="360" w:lineRule="auto"/>
              <w:ind w:left="-2" w:leftChars="-1"/>
              <w:jc w:val="center"/>
              <w:rPr>
                <w:rFonts w:hint="eastAsia" w:ascii="宋体" w:hAnsi="宋体" w:eastAsia="宋体" w:cs="宋体"/>
                <w:b/>
                <w:bCs/>
                <w:sz w:val="24"/>
                <w:szCs w:val="24"/>
              </w:rPr>
            </w:pPr>
            <w:r>
              <w:rPr>
                <w:rFonts w:hint="eastAsia" w:ascii="宋体" w:hAnsi="宋体" w:eastAsia="宋体" w:cs="宋体"/>
                <w:b/>
                <w:bCs/>
                <w:sz w:val="24"/>
                <w:szCs w:val="24"/>
              </w:rPr>
              <w:t>评分因素及权重</w:t>
            </w:r>
          </w:p>
        </w:tc>
        <w:tc>
          <w:tcPr>
            <w:tcW w:w="750" w:type="dxa"/>
            <w:tcBorders>
              <w:top w:val="single" w:color="auto" w:sz="12" w:space="0"/>
            </w:tcBorders>
            <w:vAlign w:val="center"/>
          </w:tcPr>
          <w:p>
            <w:pPr>
              <w:spacing w:line="360" w:lineRule="auto"/>
              <w:ind w:left="-2" w:leftChars="-1"/>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5004" w:type="dxa"/>
            <w:tcBorders>
              <w:top w:val="single" w:color="auto" w:sz="12" w:space="0"/>
            </w:tcBorders>
            <w:vAlign w:val="center"/>
          </w:tcPr>
          <w:p>
            <w:pPr>
              <w:spacing w:line="360" w:lineRule="auto"/>
              <w:ind w:left="-2"/>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1793" w:type="dxa"/>
            <w:tcBorders>
              <w:top w:val="single" w:color="auto" w:sz="12" w:space="0"/>
            </w:tcBorders>
            <w:vAlign w:val="center"/>
          </w:tcPr>
          <w:p>
            <w:pPr>
              <w:spacing w:line="360" w:lineRule="auto"/>
              <w:ind w:left="-2"/>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53" w:hRule="atLeast"/>
          <w:jc w:val="center"/>
        </w:trPr>
        <w:tc>
          <w:tcPr>
            <w:tcW w:w="7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91" w:type="dxa"/>
            <w:vAlign w:val="center"/>
          </w:tcPr>
          <w:p>
            <w:pPr>
              <w:widowControl/>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报价</w:t>
            </w:r>
            <w:r>
              <w:rPr>
                <w:rFonts w:hint="eastAsia" w:ascii="宋体" w:hAnsi="宋体" w:cs="宋体"/>
                <w:color w:val="000000"/>
                <w:sz w:val="24"/>
                <w:szCs w:val="24"/>
                <w:lang w:val="en-US" w:eastAsia="zh-CN" w:bidi="ar"/>
              </w:rPr>
              <w:t>30</w:t>
            </w:r>
            <w:r>
              <w:rPr>
                <w:rFonts w:hint="eastAsia" w:ascii="宋体" w:hAnsi="宋体" w:eastAsia="宋体" w:cs="宋体"/>
                <w:color w:val="000000"/>
                <w:sz w:val="24"/>
                <w:szCs w:val="24"/>
                <w:lang w:bidi="ar"/>
              </w:rPr>
              <w:t>%</w:t>
            </w:r>
          </w:p>
          <w:p>
            <w:pPr>
              <w:widowControl/>
              <w:textAlignment w:val="center"/>
              <w:rPr>
                <w:rFonts w:hint="eastAsia" w:ascii="宋体" w:hAnsi="宋体" w:eastAsia="宋体" w:cs="宋体"/>
                <w:color w:val="000000"/>
                <w:sz w:val="24"/>
                <w:szCs w:val="24"/>
                <w:lang w:bidi="ar"/>
              </w:rPr>
            </w:pPr>
          </w:p>
        </w:tc>
        <w:tc>
          <w:tcPr>
            <w:tcW w:w="750" w:type="dxa"/>
            <w:vAlign w:val="center"/>
          </w:tcPr>
          <w:p>
            <w:pPr>
              <w:widowControl/>
              <w:textAlignment w:val="center"/>
              <w:rPr>
                <w:rFonts w:hint="eastAsia" w:ascii="宋体" w:hAnsi="宋体" w:eastAsia="宋体" w:cs="宋体"/>
                <w:sz w:val="24"/>
                <w:szCs w:val="24"/>
              </w:rPr>
            </w:pPr>
            <w:r>
              <w:rPr>
                <w:rFonts w:hint="eastAsia" w:ascii="宋体" w:hAnsi="宋体" w:cs="宋体"/>
                <w:color w:val="000000"/>
                <w:sz w:val="24"/>
                <w:szCs w:val="24"/>
                <w:lang w:val="en-US" w:eastAsia="zh-CN" w:bidi="ar"/>
              </w:rPr>
              <w:t>30</w:t>
            </w:r>
            <w:r>
              <w:rPr>
                <w:rFonts w:hint="eastAsia" w:ascii="宋体" w:hAnsi="宋体" w:eastAsia="宋体" w:cs="宋体"/>
                <w:sz w:val="24"/>
                <w:szCs w:val="24"/>
              </w:rPr>
              <w:t>分</w:t>
            </w:r>
          </w:p>
        </w:tc>
        <w:tc>
          <w:tcPr>
            <w:tcW w:w="5004" w:type="dxa"/>
            <w:vAlign w:val="center"/>
          </w:tcPr>
          <w:p>
            <w:pPr>
              <w:widowControl/>
              <w:textAlignment w:val="center"/>
              <w:rPr>
                <w:rFonts w:hint="eastAsia" w:ascii="宋体" w:hAnsi="宋体" w:eastAsia="宋体" w:cs="宋体"/>
                <w:sz w:val="24"/>
                <w:szCs w:val="24"/>
              </w:rPr>
            </w:pPr>
            <w:r>
              <w:rPr>
                <w:rFonts w:hint="eastAsia" w:ascii="宋体" w:hAnsi="宋体" w:cs="宋体"/>
                <w:color w:val="000000"/>
                <w:sz w:val="24"/>
                <w:szCs w:val="24"/>
                <w:lang w:eastAsia="zh-CN" w:bidi="ar"/>
              </w:rPr>
              <w:t>维修</w:t>
            </w:r>
            <w:r>
              <w:rPr>
                <w:rFonts w:hint="eastAsia" w:ascii="宋体" w:hAnsi="宋体" w:eastAsia="宋体" w:cs="宋体"/>
                <w:color w:val="000000"/>
                <w:sz w:val="24"/>
                <w:szCs w:val="24"/>
                <w:lang w:bidi="ar"/>
              </w:rPr>
              <w:t>报价以满足招标文件要求且价格最低的报价为评审基准价，其价格分为满分。其它供应商的价格分，统一按照下列公式计算：报价得分=(评标基准价／报价金额)×（有效报价单项总数/报价清单总数）×</w:t>
            </w:r>
            <w:r>
              <w:rPr>
                <w:rFonts w:hint="eastAsia" w:ascii="宋体" w:hAnsi="宋体" w:cs="宋体"/>
                <w:color w:val="000000"/>
                <w:sz w:val="24"/>
                <w:szCs w:val="24"/>
                <w:lang w:val="en-US" w:eastAsia="zh-CN" w:bidi="ar"/>
              </w:rPr>
              <w:t>30</w:t>
            </w:r>
            <w:r>
              <w:rPr>
                <w:rFonts w:hint="eastAsia" w:ascii="宋体" w:hAnsi="宋体" w:cs="宋体"/>
                <w:color w:val="000000"/>
                <w:sz w:val="24"/>
                <w:szCs w:val="24"/>
                <w:lang w:eastAsia="zh-CN" w:bidi="ar"/>
              </w:rPr>
              <w:t>分</w:t>
            </w:r>
            <w:r>
              <w:rPr>
                <w:rFonts w:hint="eastAsia" w:ascii="宋体" w:hAnsi="宋体" w:cs="宋体"/>
                <w:color w:val="000000"/>
                <w:sz w:val="24"/>
                <w:szCs w:val="24"/>
                <w:lang w:val="en-US" w:eastAsia="zh-CN" w:bidi="ar"/>
              </w:rPr>
              <w:t>-</w:t>
            </w:r>
            <w:r>
              <w:rPr>
                <w:rFonts w:hint="eastAsia" w:ascii="宋体" w:hAnsi="宋体" w:eastAsia="宋体" w:cs="宋体"/>
                <w:color w:val="000000"/>
                <w:sz w:val="24"/>
                <w:szCs w:val="24"/>
                <w:lang w:bidi="ar"/>
              </w:rPr>
              <w:t>无效报价项目数*0.2</w:t>
            </w:r>
            <w:r>
              <w:rPr>
                <w:rFonts w:hint="eastAsia" w:ascii="宋体" w:hAnsi="宋体" w:cs="宋体"/>
                <w:color w:val="000000"/>
                <w:sz w:val="24"/>
                <w:szCs w:val="24"/>
                <w:lang w:eastAsia="zh-CN" w:bidi="ar"/>
              </w:rPr>
              <w:t>分</w:t>
            </w:r>
            <w:r>
              <w:rPr>
                <w:rFonts w:hint="eastAsia" w:ascii="宋体" w:hAnsi="宋体" w:eastAsia="宋体" w:cs="宋体"/>
                <w:color w:val="000000"/>
                <w:sz w:val="24"/>
                <w:szCs w:val="24"/>
                <w:lang w:bidi="ar"/>
              </w:rPr>
              <w:t>。</w:t>
            </w:r>
          </w:p>
        </w:tc>
        <w:tc>
          <w:tcPr>
            <w:tcW w:w="1793" w:type="dxa"/>
            <w:vAlign w:val="center"/>
          </w:tcPr>
          <w:p>
            <w:pPr>
              <w:spacing w:line="360" w:lineRule="auto"/>
              <w:ind w:leftChars="-1" w:hanging="2"/>
              <w:jc w:val="center"/>
              <w:rPr>
                <w:rFonts w:hint="eastAsia" w:ascii="宋体" w:hAnsi="宋体" w:eastAsia="宋体" w:cs="宋体"/>
                <w:sz w:val="24"/>
                <w:szCs w:val="24"/>
                <w:lang w:eastAsia="zh-CN"/>
              </w:rPr>
            </w:pPr>
            <w:r>
              <w:rPr>
                <w:rFonts w:hint="eastAsia" w:ascii="宋体" w:hAnsi="宋体" w:cs="宋体"/>
                <w:sz w:val="24"/>
                <w:szCs w:val="24"/>
                <w:lang w:eastAsia="zh-CN"/>
              </w:rPr>
              <w:t>无报价或超过最高限价的均属于无效报价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15" w:hRule="atLeast"/>
          <w:jc w:val="center"/>
        </w:trPr>
        <w:tc>
          <w:tcPr>
            <w:tcW w:w="7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391" w:type="dxa"/>
            <w:vAlign w:val="center"/>
          </w:tcPr>
          <w:p>
            <w:pPr>
              <w:ind w:firstLine="28"/>
              <w:jc w:val="center"/>
              <w:rPr>
                <w:rFonts w:hAnsi="宋体"/>
                <w:sz w:val="24"/>
                <w:szCs w:val="24"/>
              </w:rPr>
            </w:pPr>
            <w:r>
              <w:rPr>
                <w:rFonts w:hint="eastAsia" w:hAnsi="宋体"/>
                <w:sz w:val="24"/>
                <w:szCs w:val="24"/>
              </w:rPr>
              <w:t>技术能力与零件供应</w:t>
            </w:r>
          </w:p>
          <w:p>
            <w:pPr>
              <w:widowControl/>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t>
            </w:r>
            <w:r>
              <w:rPr>
                <w:rFonts w:hint="eastAsia" w:ascii="宋体" w:hAnsi="宋体" w:cs="宋体"/>
                <w:color w:val="000000"/>
                <w:sz w:val="24"/>
                <w:szCs w:val="24"/>
                <w:lang w:val="en-US" w:eastAsia="zh-CN" w:bidi="ar"/>
              </w:rPr>
              <w:t>40</w:t>
            </w:r>
            <w:r>
              <w:rPr>
                <w:rFonts w:hint="eastAsia" w:ascii="宋体" w:hAnsi="宋体" w:eastAsia="宋体" w:cs="宋体"/>
                <w:color w:val="000000"/>
                <w:sz w:val="24"/>
                <w:szCs w:val="24"/>
                <w:lang w:bidi="ar"/>
              </w:rPr>
              <w:t>%）</w:t>
            </w:r>
          </w:p>
        </w:tc>
        <w:tc>
          <w:tcPr>
            <w:tcW w:w="750" w:type="dxa"/>
            <w:vAlign w:val="center"/>
          </w:tcPr>
          <w:p>
            <w:pPr>
              <w:widowControl/>
              <w:textAlignment w:val="center"/>
              <w:rPr>
                <w:rFonts w:hint="eastAsia" w:ascii="宋体" w:hAnsi="宋体" w:eastAsia="宋体" w:cs="宋体"/>
                <w:sz w:val="24"/>
                <w:szCs w:val="24"/>
              </w:rPr>
            </w:pPr>
            <w:r>
              <w:rPr>
                <w:rFonts w:hint="eastAsia" w:ascii="宋体" w:hAnsi="宋体" w:cs="宋体"/>
                <w:color w:val="000000"/>
                <w:sz w:val="24"/>
                <w:szCs w:val="24"/>
                <w:lang w:val="en-US" w:eastAsia="zh-CN" w:bidi="ar"/>
              </w:rPr>
              <w:t>40</w:t>
            </w:r>
            <w:r>
              <w:rPr>
                <w:rFonts w:hint="eastAsia" w:ascii="宋体" w:hAnsi="宋体" w:eastAsia="宋体" w:cs="宋体"/>
                <w:color w:val="000000"/>
                <w:sz w:val="24"/>
                <w:szCs w:val="24"/>
                <w:lang w:bidi="ar"/>
              </w:rPr>
              <w:t>分</w:t>
            </w:r>
          </w:p>
        </w:tc>
        <w:tc>
          <w:tcPr>
            <w:tcW w:w="5004" w:type="dxa"/>
            <w:vAlign w:val="center"/>
          </w:tcPr>
          <w:p>
            <w:pPr>
              <w:widowControl/>
              <w:textAlignment w:val="center"/>
              <w:rPr>
                <w:rFonts w:hint="eastAsia" w:ascii="宋体" w:hAnsi="宋体" w:eastAsia="宋体" w:cs="宋体"/>
                <w:color w:val="FF0000"/>
                <w:sz w:val="24"/>
                <w:szCs w:val="24"/>
                <w:lang w:eastAsia="zh-CN"/>
              </w:rPr>
            </w:pPr>
            <w:r>
              <w:rPr>
                <w:rFonts w:hint="eastAsia" w:hAnsi="宋体" w:cs="宋体"/>
                <w:sz w:val="24"/>
                <w:szCs w:val="24"/>
              </w:rPr>
              <w:t>根据投标人对</w:t>
            </w:r>
            <w:r>
              <w:rPr>
                <w:rFonts w:hint="eastAsia" w:hAnsi="宋体" w:cs="宋体"/>
                <w:sz w:val="24"/>
                <w:szCs w:val="24"/>
                <w:highlight w:val="none"/>
                <w:lang w:eastAsia="zh-CN"/>
              </w:rPr>
              <w:t>技术服务</w:t>
            </w:r>
            <w:r>
              <w:rPr>
                <w:rFonts w:hint="eastAsia" w:hAnsi="宋体" w:cs="宋体"/>
                <w:sz w:val="24"/>
                <w:szCs w:val="24"/>
                <w:highlight w:val="none"/>
              </w:rPr>
              <w:t>要求</w:t>
            </w:r>
            <w:r>
              <w:rPr>
                <w:rFonts w:hint="eastAsia" w:hAnsi="宋体" w:cs="宋体"/>
                <w:sz w:val="24"/>
                <w:szCs w:val="24"/>
              </w:rPr>
              <w:t>的响应情况进行评审，完全响应招标文件要求没有负偏离的得满分</w:t>
            </w:r>
            <w:r>
              <w:rPr>
                <w:rFonts w:hint="eastAsia" w:hAnsi="宋体" w:cs="宋体"/>
                <w:sz w:val="24"/>
                <w:szCs w:val="24"/>
                <w:lang w:val="en-US" w:eastAsia="zh-CN"/>
              </w:rPr>
              <w:t>40</w:t>
            </w:r>
            <w:r>
              <w:rPr>
                <w:rFonts w:hint="eastAsia" w:hAnsi="宋体" w:cs="宋体"/>
                <w:sz w:val="24"/>
                <w:szCs w:val="24"/>
              </w:rPr>
              <w:t>分，</w:t>
            </w:r>
            <w:r>
              <w:rPr>
                <w:rFonts w:hint="eastAsia" w:ascii="宋体" w:hAnsi="宋体" w:cs="宋体"/>
                <w:kern w:val="0"/>
                <w:sz w:val="24"/>
                <w:szCs w:val="24"/>
              </w:rPr>
              <w:t>非“*”条款要求不满足招标文件要求有负偏离的，一项扣</w:t>
            </w:r>
            <w:r>
              <w:rPr>
                <w:rFonts w:hint="eastAsia" w:ascii="宋体" w:hAnsi="宋体" w:cs="宋体"/>
                <w:kern w:val="0"/>
                <w:sz w:val="24"/>
                <w:szCs w:val="24"/>
                <w:lang w:val="en-US" w:eastAsia="zh-CN"/>
              </w:rPr>
              <w:t>3</w:t>
            </w:r>
            <w:r>
              <w:rPr>
                <w:rFonts w:hint="eastAsia" w:ascii="宋体" w:hAnsi="宋体" w:cs="宋体"/>
                <w:kern w:val="0"/>
                <w:sz w:val="24"/>
                <w:szCs w:val="24"/>
              </w:rPr>
              <w:t>分，“*”条款要求与招标文件要求有负偏离的，一项扣</w:t>
            </w:r>
            <w:r>
              <w:rPr>
                <w:rFonts w:hint="eastAsia" w:ascii="宋体" w:hAnsi="宋体" w:cs="宋体"/>
                <w:kern w:val="0"/>
                <w:sz w:val="24"/>
                <w:szCs w:val="24"/>
                <w:lang w:val="en-US" w:eastAsia="zh-CN"/>
              </w:rPr>
              <w:t>7</w:t>
            </w:r>
            <w:r>
              <w:rPr>
                <w:rFonts w:hint="eastAsia" w:ascii="宋体" w:hAnsi="宋体" w:cs="宋体"/>
                <w:kern w:val="0"/>
                <w:sz w:val="24"/>
                <w:szCs w:val="24"/>
              </w:rPr>
              <w:t>分；扣完为止。</w:t>
            </w:r>
            <w:r>
              <w:rPr>
                <w:rFonts w:hint="eastAsia" w:hAnsi="宋体" w:cs="宋体"/>
                <w:sz w:val="24"/>
                <w:szCs w:val="24"/>
              </w:rPr>
              <w:t>（按照偏离情况表及</w:t>
            </w:r>
            <w:r>
              <w:rPr>
                <w:rFonts w:hint="eastAsia" w:hAnsi="宋体" w:cs="宋体"/>
                <w:sz w:val="24"/>
                <w:szCs w:val="24"/>
                <w:lang w:eastAsia="zh-CN"/>
              </w:rPr>
              <w:t>技术服务</w:t>
            </w:r>
            <w:r>
              <w:rPr>
                <w:rFonts w:hint="eastAsia" w:hAnsi="宋体" w:cs="宋体"/>
                <w:sz w:val="24"/>
                <w:szCs w:val="24"/>
              </w:rPr>
              <w:t>要求提供的证明材料进行评审）</w:t>
            </w:r>
          </w:p>
        </w:tc>
        <w:tc>
          <w:tcPr>
            <w:tcW w:w="1793" w:type="dxa"/>
            <w:vAlign w:val="center"/>
          </w:tcPr>
          <w:p>
            <w:pPr>
              <w:numPr>
                <w:ilvl w:val="0"/>
                <w:numId w:val="0"/>
              </w:numPr>
              <w:spacing w:line="240" w:lineRule="auto"/>
              <w:rPr>
                <w:rFonts w:hint="eastAsia" w:ascii="宋体" w:hAnsi="宋体" w:eastAsia="宋体" w:cs="宋体"/>
                <w:sz w:val="24"/>
                <w:szCs w:val="24"/>
              </w:rPr>
            </w:pPr>
            <w:r>
              <w:rPr>
                <w:rFonts w:hint="eastAsia" w:ascii="宋体" w:hAnsi="宋体" w:cs="宋体"/>
                <w:kern w:val="0"/>
                <w:sz w:val="24"/>
                <w:szCs w:val="24"/>
              </w:rPr>
              <w:t>对履约能力“*”条款的响应须提供加盖公司鲜章承诺函，否则视为不满足此条款。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60" w:hRule="atLeast"/>
          <w:jc w:val="center"/>
        </w:trPr>
        <w:tc>
          <w:tcPr>
            <w:tcW w:w="703"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91" w:type="dxa"/>
            <w:vAlign w:val="center"/>
          </w:tcPr>
          <w:p>
            <w:pPr>
              <w:widowControl/>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服务方案</w:t>
            </w:r>
            <w:r>
              <w:rPr>
                <w:rFonts w:hint="eastAsia" w:ascii="宋体" w:hAnsi="宋体" w:eastAsia="宋体" w:cs="宋体"/>
                <w:color w:val="000000"/>
                <w:sz w:val="24"/>
                <w:szCs w:val="24"/>
                <w:lang w:eastAsia="zh-CN" w:bidi="ar"/>
              </w:rPr>
              <w:t>（</w:t>
            </w:r>
            <w:r>
              <w:rPr>
                <w:rFonts w:hint="eastAsia" w:ascii="宋体" w:hAnsi="宋体" w:cs="宋体"/>
                <w:color w:val="000000"/>
                <w:sz w:val="24"/>
                <w:szCs w:val="24"/>
                <w:lang w:val="en-US" w:eastAsia="zh-CN" w:bidi="ar"/>
              </w:rPr>
              <w:t>8</w:t>
            </w:r>
            <w:r>
              <w:rPr>
                <w:rFonts w:hint="eastAsia" w:ascii="宋体" w:hAnsi="宋体" w:eastAsia="宋体" w:cs="宋体"/>
                <w:color w:val="000000"/>
                <w:sz w:val="24"/>
                <w:szCs w:val="24"/>
                <w:lang w:val="en-US" w:eastAsia="zh-CN" w:bidi="ar"/>
              </w:rPr>
              <w:t>%</w:t>
            </w:r>
            <w:r>
              <w:rPr>
                <w:rFonts w:hint="eastAsia" w:ascii="宋体" w:hAnsi="宋体" w:eastAsia="宋体" w:cs="宋体"/>
                <w:color w:val="000000"/>
                <w:sz w:val="24"/>
                <w:szCs w:val="24"/>
                <w:lang w:eastAsia="zh-CN" w:bidi="ar"/>
              </w:rPr>
              <w:t>）</w:t>
            </w:r>
          </w:p>
        </w:tc>
        <w:tc>
          <w:tcPr>
            <w:tcW w:w="750" w:type="dxa"/>
            <w:vAlign w:val="center"/>
          </w:tcPr>
          <w:p>
            <w:pPr>
              <w:widowControl/>
              <w:textAlignment w:val="center"/>
              <w:rPr>
                <w:rFonts w:hint="eastAsia" w:ascii="宋体" w:hAnsi="宋体" w:eastAsia="宋体" w:cs="宋体"/>
                <w:color w:val="000000"/>
                <w:sz w:val="24"/>
                <w:szCs w:val="24"/>
                <w:lang w:val="en-US" w:eastAsia="zh-CN" w:bidi="ar"/>
              </w:rPr>
            </w:pPr>
            <w:r>
              <w:rPr>
                <w:rFonts w:hint="eastAsia" w:ascii="宋体" w:hAnsi="宋体" w:cs="宋体"/>
                <w:color w:val="000000"/>
                <w:sz w:val="24"/>
                <w:szCs w:val="24"/>
                <w:lang w:val="en-US" w:eastAsia="zh-CN" w:bidi="ar"/>
              </w:rPr>
              <w:t>8</w:t>
            </w:r>
            <w:r>
              <w:rPr>
                <w:rFonts w:hint="eastAsia" w:ascii="宋体" w:hAnsi="宋体" w:eastAsia="宋体" w:cs="宋体"/>
                <w:color w:val="000000"/>
                <w:sz w:val="24"/>
                <w:szCs w:val="24"/>
                <w:lang w:val="en-US" w:eastAsia="zh-CN" w:bidi="ar"/>
              </w:rPr>
              <w:t>分</w:t>
            </w:r>
          </w:p>
        </w:tc>
        <w:tc>
          <w:tcPr>
            <w:tcW w:w="5004" w:type="dxa"/>
            <w:vAlign w:val="center"/>
          </w:tcPr>
          <w:p>
            <w:pPr>
              <w:widowControl/>
              <w:ind w:left="240" w:hanging="240" w:hangingChars="100"/>
              <w:textAlignment w:val="center"/>
              <w:rPr>
                <w:rFonts w:hint="eastAsia" w:ascii="宋体" w:hAnsi="宋体" w:eastAsia="宋体" w:cs="宋体"/>
                <w:color w:val="000000"/>
                <w:sz w:val="24"/>
                <w:szCs w:val="24"/>
                <w:lang w:eastAsia="zh-CN" w:bidi="ar"/>
              </w:rPr>
            </w:pPr>
            <w:r>
              <w:rPr>
                <w:rFonts w:hint="eastAsia" w:hAnsi="宋体"/>
                <w:sz w:val="24"/>
                <w:szCs w:val="24"/>
              </w:rPr>
              <w:t>根据投标人针对本项目的</w:t>
            </w:r>
            <w:r>
              <w:rPr>
                <w:rFonts w:hint="eastAsia" w:asciiTheme="minorEastAsia" w:hAnsiTheme="minorEastAsia" w:eastAsiaTheme="minorEastAsia" w:cstheme="minorEastAsia"/>
                <w:sz w:val="24"/>
                <w:szCs w:val="24"/>
              </w:rPr>
              <w:t>服务方案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包括</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①</w:t>
            </w:r>
            <w:r>
              <w:rPr>
                <w:rFonts w:hint="eastAsia" w:asciiTheme="minorEastAsia" w:hAnsiTheme="minorEastAsia" w:cstheme="minorEastAsia"/>
                <w:sz w:val="24"/>
                <w:szCs w:val="24"/>
                <w:highlight w:val="none"/>
                <w:lang w:eastAsia="zh-CN"/>
              </w:rPr>
              <w:t>服务人员配置</w:t>
            </w:r>
            <w:r>
              <w:rPr>
                <w:rFonts w:hint="eastAsia" w:asciiTheme="minorEastAsia" w:hAnsiTheme="minorEastAsia" w:eastAsiaTheme="minorEastAsia" w:cstheme="minorEastAsia"/>
                <w:sz w:val="24"/>
                <w:szCs w:val="24"/>
              </w:rPr>
              <w:t>方案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②设备定期</w:t>
            </w:r>
            <w:r>
              <w:rPr>
                <w:rFonts w:hint="eastAsia" w:asciiTheme="minorEastAsia" w:hAnsiTheme="minorEastAsia" w:eastAsiaTheme="minorEastAsia" w:cstheme="minorEastAsia"/>
                <w:sz w:val="24"/>
                <w:szCs w:val="24"/>
                <w:lang w:eastAsia="zh-CN"/>
              </w:rPr>
              <w:t>巡检</w:t>
            </w:r>
            <w:r>
              <w:rPr>
                <w:rFonts w:hint="eastAsia" w:asciiTheme="minorEastAsia" w:hAnsiTheme="minorEastAsia" w:eastAsiaTheme="minorEastAsia" w:cstheme="minorEastAsia"/>
                <w:sz w:val="24"/>
                <w:szCs w:val="24"/>
              </w:rPr>
              <w:t>服务流程</w:t>
            </w:r>
            <w:r>
              <w:rPr>
                <w:rFonts w:hint="eastAsia" w:asciiTheme="minorEastAsia" w:hAnsiTheme="minorEastAsia" w:eastAsiaTheme="minorEastAsia" w:cstheme="minorEastAsia"/>
                <w:sz w:val="24"/>
                <w:szCs w:val="24"/>
                <w:lang w:eastAsia="zh-CN"/>
              </w:rPr>
              <w:t>及计划</w:t>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sz w:val="24"/>
                <w:szCs w:val="24"/>
                <w:lang w:eastAsia="zh-CN"/>
              </w:rPr>
              <w:t>人员培训计划</w:t>
            </w: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sz w:val="24"/>
                <w:szCs w:val="24"/>
                <w:lang w:eastAsia="zh-CN"/>
              </w:rPr>
              <w:t>应急服务方案。</w:t>
            </w:r>
            <w:r>
              <w:rPr>
                <w:rFonts w:hint="eastAsia" w:asciiTheme="minorEastAsia" w:hAnsiTheme="minorEastAsia" w:eastAsiaTheme="minorEastAsia" w:cstheme="minorEastAsia"/>
                <w:sz w:val="24"/>
                <w:szCs w:val="24"/>
              </w:rPr>
              <w:t>服务内容齐全且内容完全满足本项目需求的得</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分，每缺少一项内容扣</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分，每有一项内容不完整或</w:t>
            </w:r>
            <w:r>
              <w:rPr>
                <w:rFonts w:hint="eastAsia" w:asciiTheme="minorEastAsia" w:hAnsiTheme="minorEastAsia" w:eastAsiaTheme="minorEastAsia" w:cstheme="minorEastAsia"/>
                <w:sz w:val="24"/>
                <w:szCs w:val="24"/>
                <w:lang w:eastAsia="zh-CN"/>
              </w:rPr>
              <w:t>描述简略或</w:t>
            </w:r>
            <w:r>
              <w:rPr>
                <w:rFonts w:hint="eastAsia" w:asciiTheme="minorEastAsia" w:hAnsiTheme="minorEastAsia" w:eastAsiaTheme="minorEastAsia" w:cstheme="minorEastAsia"/>
                <w:sz w:val="24"/>
                <w:szCs w:val="24"/>
              </w:rPr>
              <w:t>有错误的扣</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分。直至本项扣完为止。</w:t>
            </w:r>
          </w:p>
        </w:tc>
        <w:tc>
          <w:tcPr>
            <w:tcW w:w="1793" w:type="dxa"/>
            <w:vAlign w:val="center"/>
          </w:tcPr>
          <w:p>
            <w:pPr>
              <w:numPr>
                <w:ilvl w:val="0"/>
                <w:numId w:val="0"/>
              </w:num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提供的方案应</w:t>
            </w:r>
            <w:r>
              <w:rPr>
                <w:rFonts w:hint="eastAsia" w:ascii="宋体" w:hAnsi="宋体" w:cs="宋体"/>
                <w:kern w:val="0"/>
                <w:sz w:val="24"/>
                <w:szCs w:val="24"/>
              </w:rPr>
              <w:t>加盖公司鲜章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25" w:hRule="atLeast"/>
          <w:jc w:val="center"/>
        </w:trPr>
        <w:tc>
          <w:tcPr>
            <w:tcW w:w="703"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391" w:type="dxa"/>
            <w:vAlign w:val="center"/>
          </w:tcPr>
          <w:p>
            <w:pPr>
              <w:widowControl/>
              <w:numPr>
                <w:ilvl w:val="0"/>
                <w:numId w:val="0"/>
              </w:numPr>
              <w:textAlignment w:val="center"/>
              <w:rPr>
                <w:rFonts w:hint="eastAsia" w:hAnsi="宋体" w:cs="宋体"/>
                <w:sz w:val="24"/>
                <w:szCs w:val="24"/>
                <w:lang w:val="en-US" w:eastAsia="zh-CN"/>
              </w:rPr>
            </w:pPr>
            <w:r>
              <w:rPr>
                <w:rFonts w:hint="eastAsia" w:hAnsi="宋体" w:cs="宋体"/>
                <w:sz w:val="24"/>
                <w:szCs w:val="24"/>
                <w:lang w:val="en-US" w:eastAsia="zh-CN"/>
              </w:rPr>
              <w:t>综合实力</w:t>
            </w:r>
          </w:p>
          <w:p>
            <w:pPr>
              <w:widowControl/>
              <w:numPr>
                <w:ilvl w:val="0"/>
                <w:numId w:val="0"/>
              </w:numPr>
              <w:ind w:firstLine="240" w:firstLineChars="100"/>
              <w:textAlignment w:val="center"/>
              <w:rPr>
                <w:rFonts w:hint="eastAsia" w:ascii="宋体" w:hAnsi="宋体" w:eastAsia="宋体" w:cs="宋体"/>
                <w:color w:val="000000"/>
                <w:sz w:val="24"/>
                <w:szCs w:val="24"/>
                <w:lang w:bidi="ar"/>
              </w:rPr>
            </w:pPr>
            <w:r>
              <w:rPr>
                <w:rFonts w:hint="eastAsia" w:hAnsi="宋体" w:cs="宋体"/>
                <w:sz w:val="24"/>
                <w:szCs w:val="24"/>
                <w:lang w:val="en-US" w:eastAsia="zh-CN"/>
              </w:rPr>
              <w:t>12%</w:t>
            </w:r>
          </w:p>
        </w:tc>
        <w:tc>
          <w:tcPr>
            <w:tcW w:w="750" w:type="dxa"/>
            <w:vAlign w:val="center"/>
          </w:tcPr>
          <w:p>
            <w:pPr>
              <w:widowControl/>
              <w:textAlignment w:val="center"/>
              <w:rPr>
                <w:rFonts w:hint="eastAsia" w:ascii="宋体" w:hAnsi="宋体" w:cs="宋体"/>
                <w:color w:val="000000"/>
                <w:sz w:val="24"/>
                <w:szCs w:val="24"/>
                <w:lang w:val="en-US" w:eastAsia="zh-CN" w:bidi="ar"/>
              </w:rPr>
            </w:pPr>
            <w:r>
              <w:rPr>
                <w:rFonts w:hint="eastAsia" w:ascii="宋体" w:hAnsi="宋体" w:cs="宋体"/>
                <w:color w:val="000000"/>
                <w:sz w:val="24"/>
                <w:szCs w:val="24"/>
                <w:lang w:val="en-US" w:eastAsia="zh-CN" w:bidi="ar"/>
              </w:rPr>
              <w:t>12分</w:t>
            </w:r>
          </w:p>
        </w:tc>
        <w:tc>
          <w:tcPr>
            <w:tcW w:w="5004" w:type="dxa"/>
            <w:vAlign w:val="center"/>
          </w:tcPr>
          <w:p>
            <w:pPr>
              <w:widowControl/>
              <w:numPr>
                <w:ilvl w:val="0"/>
                <w:numId w:val="0"/>
              </w:numPr>
              <w:textAlignment w:val="center"/>
              <w:rPr>
                <w:rFonts w:hint="eastAsia" w:hAnsi="宋体" w:cs="宋体"/>
                <w:sz w:val="24"/>
                <w:szCs w:val="24"/>
              </w:rPr>
            </w:pPr>
            <w:r>
              <w:rPr>
                <w:rFonts w:hint="eastAsia" w:hAnsi="宋体" w:cs="宋体"/>
                <w:sz w:val="24"/>
                <w:szCs w:val="24"/>
                <w:lang w:val="en-US" w:eastAsia="zh-CN"/>
              </w:rPr>
              <w:t>1.</w:t>
            </w:r>
            <w:r>
              <w:rPr>
                <w:rFonts w:hint="eastAsia" w:hAnsi="宋体" w:cs="宋体"/>
                <w:sz w:val="24"/>
                <w:szCs w:val="24"/>
                <w:lang w:eastAsia="zh-CN"/>
              </w:rPr>
              <w:t>提供内镜原厂或第三方专业机构认证合格内镜维修工程师，提供一个工程师认证证书（有效期内）得</w:t>
            </w:r>
            <w:r>
              <w:rPr>
                <w:rFonts w:hint="eastAsia" w:hAnsi="宋体" w:cs="宋体"/>
                <w:sz w:val="24"/>
                <w:szCs w:val="24"/>
                <w:lang w:val="en-US" w:eastAsia="zh-CN"/>
              </w:rPr>
              <w:t>2</w:t>
            </w:r>
            <w:r>
              <w:rPr>
                <w:rFonts w:hint="eastAsia" w:hAnsi="宋体" w:cs="宋体"/>
                <w:sz w:val="24"/>
                <w:szCs w:val="24"/>
                <w:lang w:eastAsia="zh-CN"/>
              </w:rPr>
              <w:t>分，最多得</w:t>
            </w:r>
            <w:r>
              <w:rPr>
                <w:rFonts w:hint="eastAsia" w:hAnsi="宋体" w:cs="宋体"/>
                <w:sz w:val="24"/>
                <w:szCs w:val="24"/>
                <w:lang w:val="en-US" w:eastAsia="zh-CN"/>
              </w:rPr>
              <w:t>4</w:t>
            </w:r>
            <w:r>
              <w:rPr>
                <w:rFonts w:hint="eastAsia" w:hAnsi="宋体" w:cs="宋体"/>
                <w:sz w:val="24"/>
                <w:szCs w:val="24"/>
                <w:lang w:eastAsia="zh-CN"/>
              </w:rPr>
              <w:t>分</w:t>
            </w:r>
            <w:r>
              <w:rPr>
                <w:rFonts w:hint="eastAsia" w:hAnsi="宋体" w:cs="宋体"/>
                <w:sz w:val="24"/>
                <w:szCs w:val="24"/>
              </w:rPr>
              <w:t>。</w:t>
            </w:r>
          </w:p>
          <w:p>
            <w:pPr>
              <w:widowControl/>
              <w:numPr>
                <w:ilvl w:val="0"/>
                <w:numId w:val="0"/>
              </w:numPr>
              <w:textAlignment w:val="center"/>
              <w:rPr>
                <w:rFonts w:hint="eastAsia" w:hAnsi="宋体"/>
                <w:sz w:val="24"/>
                <w:szCs w:val="24"/>
              </w:rPr>
            </w:pPr>
            <w:r>
              <w:rPr>
                <w:rFonts w:hint="eastAsia" w:hAnsi="宋体" w:cs="宋体"/>
                <w:sz w:val="24"/>
                <w:szCs w:val="24"/>
                <w:lang w:val="en-US" w:eastAsia="zh-CN"/>
              </w:rPr>
              <w:t>2.提供用于手术器械维修的专业工具（包含但不限于：激光点焊机、专业拆镜工具套装、专业测漏器等），提供激光电焊机得3分，提供专业拆镜工具套装得3分，提供其他用于手术器械维修的专业工具每种得1分</w:t>
            </w:r>
            <w:r>
              <w:rPr>
                <w:rFonts w:hint="eastAsia" w:hAnsi="宋体" w:cs="宋体"/>
                <w:sz w:val="24"/>
                <w:szCs w:val="24"/>
                <w:lang w:eastAsia="zh-CN"/>
              </w:rPr>
              <w:t>。（提供的</w:t>
            </w:r>
            <w:r>
              <w:rPr>
                <w:rFonts w:hint="eastAsia" w:hAnsi="宋体" w:cs="宋体"/>
                <w:sz w:val="24"/>
                <w:szCs w:val="24"/>
                <w:lang w:val="en-US" w:eastAsia="zh-CN"/>
              </w:rPr>
              <w:t>手术器械维修的专业工具得分相加</w:t>
            </w:r>
            <w:r>
              <w:rPr>
                <w:rFonts w:hint="eastAsia" w:hAnsi="宋体" w:cs="宋体"/>
                <w:sz w:val="24"/>
                <w:szCs w:val="24"/>
                <w:lang w:eastAsia="zh-CN"/>
              </w:rPr>
              <w:t>最高总分不超过</w:t>
            </w:r>
            <w:r>
              <w:rPr>
                <w:rFonts w:hint="eastAsia" w:hAnsi="宋体" w:cs="宋体"/>
                <w:sz w:val="24"/>
                <w:szCs w:val="24"/>
                <w:lang w:val="en-US" w:eastAsia="zh-CN"/>
              </w:rPr>
              <w:t>8分，不提供不得分</w:t>
            </w:r>
            <w:r>
              <w:rPr>
                <w:rFonts w:hint="eastAsia" w:hAnsi="宋体" w:cs="宋体"/>
                <w:sz w:val="24"/>
                <w:szCs w:val="24"/>
                <w:lang w:eastAsia="zh-CN"/>
              </w:rPr>
              <w:t>）</w:t>
            </w:r>
          </w:p>
        </w:tc>
        <w:tc>
          <w:tcPr>
            <w:tcW w:w="1793" w:type="dxa"/>
            <w:vAlign w:val="center"/>
          </w:tcPr>
          <w:p>
            <w:pPr>
              <w:widowControl/>
              <w:numPr>
                <w:ilvl w:val="0"/>
                <w:numId w:val="0"/>
              </w:numPr>
              <w:textAlignment w:val="center"/>
              <w:rPr>
                <w:rFonts w:hint="eastAsia" w:hAnsi="宋体" w:cs="宋体"/>
                <w:sz w:val="24"/>
                <w:szCs w:val="24"/>
                <w:lang w:eastAsia="zh-CN"/>
              </w:rPr>
            </w:pPr>
            <w:r>
              <w:rPr>
                <w:rFonts w:hint="eastAsia" w:hAnsi="宋体" w:cs="宋体"/>
                <w:sz w:val="24"/>
                <w:szCs w:val="24"/>
                <w:lang w:val="en-US" w:eastAsia="zh-CN"/>
              </w:rPr>
              <w:t>1.</w:t>
            </w:r>
            <w:r>
              <w:rPr>
                <w:rFonts w:hint="eastAsia" w:hAnsi="宋体" w:cs="宋体"/>
                <w:sz w:val="24"/>
                <w:szCs w:val="24"/>
                <w:lang w:eastAsia="zh-CN"/>
              </w:rPr>
              <w:t>提供工程师认证证书复印件并加盖投标人公章</w:t>
            </w:r>
          </w:p>
          <w:p>
            <w:pPr>
              <w:widowControl/>
              <w:numPr>
                <w:ilvl w:val="0"/>
                <w:numId w:val="0"/>
              </w:numPr>
              <w:textAlignment w:val="center"/>
              <w:rPr>
                <w:rFonts w:hint="eastAsia" w:eastAsia="宋体"/>
                <w:lang w:val="en-US" w:eastAsia="zh-CN"/>
              </w:rPr>
            </w:pPr>
            <w:r>
              <w:rPr>
                <w:rFonts w:hint="eastAsia" w:hAnsi="宋体" w:cs="宋体"/>
                <w:sz w:val="24"/>
                <w:szCs w:val="24"/>
                <w:lang w:val="en-US" w:eastAsia="zh-CN"/>
              </w:rPr>
              <w:t>2.提供用于手术器械维修的专业工具采购</w:t>
            </w:r>
            <w:r>
              <w:rPr>
                <w:rFonts w:hint="eastAsia" w:hAnsi="宋体" w:cs="宋体"/>
                <w:sz w:val="24"/>
                <w:szCs w:val="24"/>
              </w:rPr>
              <w:t>合同复印件</w:t>
            </w:r>
            <w:r>
              <w:rPr>
                <w:rFonts w:hint="eastAsia" w:hAnsi="宋体" w:cs="宋体"/>
                <w:sz w:val="24"/>
                <w:szCs w:val="24"/>
                <w:lang w:eastAsia="zh-CN"/>
              </w:rPr>
              <w:t>或发票复印件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703"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391" w:type="dxa"/>
            <w:vAlign w:val="center"/>
          </w:tcPr>
          <w:p>
            <w:pPr>
              <w:widowControl/>
              <w:ind w:firstLine="240" w:firstLineChars="100"/>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业绩</w:t>
            </w:r>
          </w:p>
          <w:p>
            <w:pPr>
              <w:widowControl/>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t>
            </w:r>
            <w:r>
              <w:rPr>
                <w:rFonts w:hint="eastAsia" w:ascii="宋体" w:hAnsi="宋体" w:cs="宋体"/>
                <w:color w:val="000000"/>
                <w:sz w:val="24"/>
                <w:szCs w:val="24"/>
                <w:lang w:val="en-US" w:eastAsia="zh-CN" w:bidi="ar"/>
              </w:rPr>
              <w:t>10</w:t>
            </w:r>
            <w:r>
              <w:rPr>
                <w:rFonts w:hint="eastAsia" w:ascii="宋体" w:hAnsi="宋体" w:eastAsia="宋体" w:cs="宋体"/>
                <w:color w:val="000000"/>
                <w:sz w:val="24"/>
                <w:szCs w:val="24"/>
                <w:lang w:bidi="ar"/>
              </w:rPr>
              <w:t>%</w:t>
            </w:r>
            <w:r>
              <w:rPr>
                <w:rStyle w:val="21"/>
                <w:rFonts w:hint="eastAsia" w:ascii="宋体" w:hAnsi="宋体" w:eastAsia="宋体" w:cs="宋体"/>
                <w:sz w:val="24"/>
                <w:szCs w:val="24"/>
                <w:lang w:bidi="ar"/>
              </w:rPr>
              <w:t>）</w:t>
            </w:r>
          </w:p>
        </w:tc>
        <w:tc>
          <w:tcPr>
            <w:tcW w:w="750" w:type="dxa"/>
            <w:vAlign w:val="center"/>
          </w:tcPr>
          <w:p>
            <w:pPr>
              <w:widowControl/>
              <w:textAlignment w:val="center"/>
              <w:rPr>
                <w:rFonts w:hint="eastAsia" w:ascii="宋体" w:hAnsi="宋体" w:eastAsia="宋体" w:cs="宋体"/>
                <w:sz w:val="24"/>
                <w:szCs w:val="24"/>
              </w:rPr>
            </w:pPr>
            <w:r>
              <w:rPr>
                <w:rFonts w:hint="eastAsia" w:ascii="宋体" w:hAnsi="宋体" w:cs="宋体"/>
                <w:color w:val="000000"/>
                <w:sz w:val="24"/>
                <w:szCs w:val="24"/>
                <w:lang w:val="en-US" w:eastAsia="zh-CN" w:bidi="ar"/>
              </w:rPr>
              <w:t>10</w:t>
            </w:r>
            <w:r>
              <w:rPr>
                <w:rFonts w:hint="eastAsia" w:ascii="宋体" w:hAnsi="宋体" w:eastAsia="宋体" w:cs="宋体"/>
                <w:sz w:val="24"/>
                <w:szCs w:val="24"/>
              </w:rPr>
              <w:t>分</w:t>
            </w:r>
          </w:p>
        </w:tc>
        <w:tc>
          <w:tcPr>
            <w:tcW w:w="5004" w:type="dxa"/>
            <w:vAlign w:val="center"/>
          </w:tcPr>
          <w:p>
            <w:pPr>
              <w:widowControl/>
              <w:numPr>
                <w:ilvl w:val="0"/>
                <w:numId w:val="0"/>
              </w:numPr>
              <w:textAlignment w:val="center"/>
              <w:rPr>
                <w:rFonts w:hint="eastAsia" w:ascii="宋体" w:hAnsi="宋体" w:eastAsia="宋体" w:cs="宋体"/>
                <w:sz w:val="24"/>
                <w:szCs w:val="24"/>
              </w:rPr>
            </w:pPr>
            <w:r>
              <w:rPr>
                <w:rFonts w:hAnsi="宋体" w:cs="宋体"/>
                <w:sz w:val="24"/>
                <w:szCs w:val="24"/>
              </w:rPr>
              <w:t>201</w:t>
            </w:r>
            <w:r>
              <w:rPr>
                <w:rFonts w:hint="eastAsia" w:hAnsi="宋体" w:cs="宋体"/>
                <w:sz w:val="24"/>
                <w:szCs w:val="24"/>
                <w:lang w:val="en-US" w:eastAsia="zh-CN"/>
              </w:rPr>
              <w:t>9</w:t>
            </w:r>
            <w:r>
              <w:rPr>
                <w:rFonts w:hint="eastAsia" w:hAnsi="宋体" w:cs="宋体"/>
                <w:sz w:val="24"/>
                <w:szCs w:val="24"/>
              </w:rPr>
              <w:t>年以来以投标人</w:t>
            </w:r>
            <w:r>
              <w:rPr>
                <w:rFonts w:hint="eastAsia" w:cs="宋体" w:asciiTheme="minorEastAsia" w:hAnsiTheme="minorEastAsia"/>
                <w:kern w:val="0"/>
                <w:sz w:val="24"/>
                <w:szCs w:val="24"/>
              </w:rPr>
              <w:t>省内三</w:t>
            </w:r>
            <w:r>
              <w:rPr>
                <w:rFonts w:hint="eastAsia" w:cs="宋体" w:asciiTheme="minorEastAsia" w:hAnsiTheme="minorEastAsia"/>
                <w:kern w:val="0"/>
                <w:sz w:val="24"/>
                <w:szCs w:val="24"/>
                <w:lang w:eastAsia="zh-CN"/>
              </w:rPr>
              <w:t>级</w:t>
            </w:r>
            <w:r>
              <w:rPr>
                <w:rFonts w:hint="eastAsia" w:cs="宋体" w:asciiTheme="minorEastAsia" w:hAnsiTheme="minorEastAsia"/>
                <w:kern w:val="0"/>
                <w:sz w:val="24"/>
                <w:szCs w:val="24"/>
              </w:rPr>
              <w:t>医疗机构同类设备维保服务客户名单</w:t>
            </w:r>
            <w:r>
              <w:rPr>
                <w:rFonts w:hint="eastAsia" w:hAnsi="宋体" w:cs="宋体"/>
                <w:sz w:val="24"/>
                <w:szCs w:val="24"/>
              </w:rPr>
              <w:t>进行评价：每有一个的得</w:t>
            </w:r>
            <w:r>
              <w:rPr>
                <w:rFonts w:hint="eastAsia" w:hAnsi="宋体" w:cs="宋体"/>
                <w:sz w:val="24"/>
                <w:szCs w:val="24"/>
                <w:lang w:val="en-US" w:eastAsia="zh-CN"/>
              </w:rPr>
              <w:t>2</w:t>
            </w:r>
            <w:r>
              <w:rPr>
                <w:rFonts w:hint="eastAsia" w:hAnsi="宋体" w:cs="宋体"/>
                <w:sz w:val="24"/>
                <w:szCs w:val="24"/>
              </w:rPr>
              <w:t>分，最多得</w:t>
            </w:r>
            <w:r>
              <w:rPr>
                <w:rFonts w:hint="eastAsia" w:hAnsi="宋体" w:cs="宋体"/>
                <w:sz w:val="24"/>
                <w:szCs w:val="24"/>
                <w:lang w:val="en-US" w:eastAsia="zh-CN"/>
              </w:rPr>
              <w:t>10</w:t>
            </w:r>
            <w:r>
              <w:rPr>
                <w:rFonts w:hint="eastAsia" w:hAnsi="宋体" w:cs="宋体"/>
                <w:sz w:val="24"/>
                <w:szCs w:val="24"/>
              </w:rPr>
              <w:t>分。</w:t>
            </w:r>
          </w:p>
        </w:tc>
        <w:tc>
          <w:tcPr>
            <w:tcW w:w="1793" w:type="dxa"/>
            <w:vAlign w:val="center"/>
          </w:tcPr>
          <w:p>
            <w:pPr>
              <w:spacing w:line="360" w:lineRule="auto"/>
              <w:ind w:leftChars="-1" w:hanging="2"/>
              <w:jc w:val="center"/>
              <w:rPr>
                <w:rFonts w:hint="eastAsia" w:ascii="宋体" w:hAnsi="宋体" w:eastAsia="宋体" w:cs="宋体"/>
                <w:sz w:val="24"/>
                <w:szCs w:val="24"/>
              </w:rPr>
            </w:pPr>
            <w:r>
              <w:rPr>
                <w:rFonts w:hint="eastAsia" w:hAnsi="宋体" w:cs="宋体"/>
                <w:sz w:val="24"/>
                <w:szCs w:val="24"/>
              </w:rPr>
              <w:t>提供中标（成交）通知书复印件或合同复印件及联系方式</w:t>
            </w:r>
          </w:p>
        </w:tc>
      </w:tr>
    </w:tbl>
    <w:p>
      <w:pPr>
        <w:widowControl/>
        <w:shd w:val="clear" w:color="auto" w:fill="FFFFFF"/>
        <w:wordWrap w:val="0"/>
        <w:spacing w:line="360" w:lineRule="auto"/>
        <w:jc w:val="left"/>
        <w:rPr>
          <w:rFonts w:cs="Segoe UI" w:asciiTheme="minorEastAsia" w:hAnsiTheme="minorEastAsia"/>
          <w:color w:val="333333"/>
          <w:kern w:val="0"/>
          <w:sz w:val="18"/>
          <w:szCs w:val="18"/>
        </w:rPr>
      </w:pPr>
    </w:p>
    <w:p>
      <w:pPr>
        <w:widowControl/>
        <w:shd w:val="clear" w:color="auto" w:fill="FFFFFF"/>
        <w:wordWrap w:val="0"/>
        <w:spacing w:line="360"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附件3：采购文件书装订顺序</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1．封面（公司、项目、联系人、联系方式）</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2．目录（标记页码）</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3．品目及报价表（格式见附件4）</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4．偏离表（格式见附件4）</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5．营业执照（复印件）</w:t>
      </w: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6．法定代表人授权书（原件，格式见附件4）</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7．相关资质证明材料</w:t>
      </w: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8．业绩证明材料</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w:t>
      </w:r>
      <w:r>
        <w:rPr>
          <w:rFonts w:hint="eastAsia" w:cs="Segoe UI" w:asciiTheme="minorEastAsia" w:hAnsiTheme="minorEastAsia"/>
          <w:color w:val="333333"/>
          <w:spacing w:val="8"/>
          <w:kern w:val="0"/>
          <w:sz w:val="24"/>
          <w:szCs w:val="24"/>
        </w:rPr>
        <w:t>封底</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注：请务必按以上顺序封胶装订资料，如有非中文资料，请同时提供中文翻译件。</w:t>
      </w:r>
    </w:p>
    <w:p>
      <w:pPr>
        <w:widowControl/>
        <w:shd w:val="clear" w:color="auto" w:fill="FFFFFF"/>
        <w:wordWrap w:val="0"/>
        <w:spacing w:line="360" w:lineRule="auto"/>
        <w:jc w:val="left"/>
        <w:rPr>
          <w:rFonts w:cs="Segoe UI" w:asciiTheme="minorEastAsia" w:hAnsiTheme="minorEastAsia"/>
          <w:color w:val="333333"/>
          <w:kern w:val="0"/>
          <w:sz w:val="32"/>
          <w:szCs w:val="32"/>
        </w:rPr>
      </w:pPr>
    </w:p>
    <w:p>
      <w:pPr>
        <w:widowControl/>
        <w:shd w:val="clear" w:color="auto" w:fill="FFFFFF"/>
        <w:wordWrap w:val="0"/>
        <w:spacing w:line="360"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附件4：</w:t>
      </w:r>
      <w:r>
        <w:rPr>
          <w:rFonts w:hint="eastAsia" w:cs="Segoe UI" w:asciiTheme="minorEastAsia" w:hAnsiTheme="minorEastAsia"/>
          <w:b/>
          <w:bCs/>
          <w:color w:val="333333"/>
          <w:kern w:val="0"/>
          <w:sz w:val="30"/>
          <w:szCs w:val="30"/>
        </w:rPr>
        <w:t>主要表格格式</w:t>
      </w:r>
    </w:p>
    <w:p>
      <w:pPr>
        <w:widowControl/>
        <w:shd w:val="clear" w:color="auto" w:fill="FFFFFF"/>
        <w:spacing w:line="360" w:lineRule="auto"/>
        <w:jc w:val="center"/>
        <w:rPr>
          <w:rFonts w:hint="eastAsia" w:cs="Segoe UI" w:asciiTheme="minorEastAsia" w:hAnsiTheme="minorEastAsia"/>
          <w:b/>
          <w:bCs/>
          <w:color w:val="333333"/>
          <w:kern w:val="0"/>
          <w:sz w:val="30"/>
          <w:szCs w:val="30"/>
        </w:rPr>
      </w:pPr>
      <w:r>
        <w:rPr>
          <w:rFonts w:hint="eastAsia" w:cs="Segoe UI" w:asciiTheme="minorEastAsia" w:hAnsiTheme="minorEastAsia"/>
          <w:b/>
          <w:bCs/>
          <w:color w:val="333333"/>
          <w:kern w:val="0"/>
          <w:sz w:val="30"/>
          <w:szCs w:val="30"/>
        </w:rPr>
        <w:t>品目及报价表</w:t>
      </w:r>
    </w:p>
    <w:tbl>
      <w:tblPr>
        <w:tblStyle w:val="11"/>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5"/>
        <w:gridCol w:w="2041"/>
        <w:gridCol w:w="1306"/>
        <w:gridCol w:w="4276"/>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序号</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cstheme="minorEastAsia"/>
                <w:b w:val="0"/>
                <w:bCs w:val="0"/>
                <w:i w:val="0"/>
                <w:color w:val="auto"/>
                <w:kern w:val="0"/>
                <w:sz w:val="24"/>
                <w:szCs w:val="24"/>
                <w:u w:val="none"/>
                <w:lang w:val="en-US" w:eastAsia="zh-CN" w:bidi="ar"/>
              </w:rPr>
              <w:t>器械</w:t>
            </w:r>
            <w:r>
              <w:rPr>
                <w:rFonts w:hint="eastAsia" w:asciiTheme="minorEastAsia" w:hAnsiTheme="minorEastAsia" w:eastAsiaTheme="minorEastAsia" w:cstheme="minorEastAsia"/>
                <w:b w:val="0"/>
                <w:bCs w:val="0"/>
                <w:i w:val="0"/>
                <w:color w:val="auto"/>
                <w:kern w:val="0"/>
                <w:sz w:val="24"/>
                <w:szCs w:val="24"/>
                <w:u w:val="none"/>
                <w:lang w:val="en-US" w:eastAsia="zh-CN" w:bidi="ar"/>
              </w:rPr>
              <w:t>名称</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设备型号</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cstheme="minorEastAsia"/>
                <w:b w:val="0"/>
                <w:bCs w:val="0"/>
                <w:i w:val="0"/>
                <w:color w:val="auto"/>
                <w:kern w:val="0"/>
                <w:sz w:val="24"/>
                <w:szCs w:val="24"/>
                <w:u w:val="none"/>
                <w:lang w:val="en-US" w:eastAsia="zh-CN" w:bidi="ar"/>
              </w:rPr>
              <w:t>器械维修等级及维修项目</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cstheme="minorEastAsia"/>
                <w:b w:val="0"/>
                <w:bCs w:val="0"/>
                <w:i w:val="0"/>
                <w:color w:val="auto"/>
                <w:kern w:val="0"/>
                <w:sz w:val="24"/>
                <w:szCs w:val="24"/>
                <w:u w:val="none"/>
                <w:lang w:val="en-US" w:eastAsia="zh-CN" w:bidi="ar"/>
              </w:rPr>
              <w:t>单次维修报价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腹腔镜10MM</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1、更换总成和光纤；</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2、更换物镜或目镜；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4、清理及调整光学系统；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6、重新校对图像；</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7、密封内窥镜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1、1、更换总成和光纤；</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2、更换物镜或目镜；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4、清理及调整光学系统；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6、重新校对图像；</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7、密封内窥镜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小儿腹腔镜/宫腔镜/膀胱镜/电切镜/耳、鼻内镜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1、更换总成和光纤；</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2、更换物镜或目镜；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4、清理及调整光学系统；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6、重新校对图像；</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7、密封内窥镜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1、1、更换总成和光纤；</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2、更换物镜或目镜；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4、清理及调整光学系统；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6、重新校对图像；</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7、密封内窥镜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3</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腹腔镜10MM/小儿腹腔镜/宫腔镜/膀胱镜/电切镜/耳、鼻内镜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1、更换物镜或更换目镜；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 xml:space="preserve">4、重新校对图像；  </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1、更换物镜或更换目镜；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 xml:space="preserve">4、重新校对图像；  </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4</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腹腔镜10MM/小儿腹腔镜/宫腔镜/膀胱镜/电切镜/耳、鼻内镜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 xml:space="preserve">4、重新校对图像；   </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 xml:space="preserve">4、重新校对图像；   </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单孔腹腔镜/支气管镜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1、更换总成和光纤；</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2、更换物镜或目镜；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4、清理及调整光学系统；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6、重新校对图像；</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7、密封内窥镜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单孔腹腔镜/支气管镜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1、更换物镜或更换目镜；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 xml:space="preserve">4、重新校对图像；  </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单孔腹腔镜/支气管镜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 xml:space="preserve">4、重新校对图像；   </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8</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输尿管硬镜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1、更换物镜和光学系统；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 更换管子总成及像纤；</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4、调校目镜组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5、重新校对图像；</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6、密封内窥镜。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9</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经皮肾镜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1、更换总成和光纤；</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2、更换物镜；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4、清理及调整光学系统；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6、重新校对图像；</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7、密封内窥镜。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经皮肾镜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1、更换物镜；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2、更换损坏镜片；</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4、调校目镜组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5、重新校对图像；</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6、密封内窥镜。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11</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经皮肾镜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C级：</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1、更换物镜；</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2、清理及调整光学系统；</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3、调校目镜组</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4、重新校对图像；</w:t>
            </w:r>
            <w:r>
              <w:rPr>
                <w:rFonts w:hint="eastAsia" w:asciiTheme="minorEastAsia" w:hAnsiTheme="minorEastAsia" w:eastAsiaTheme="minorEastAsia" w:cstheme="minorEastAsia"/>
                <w:b w:val="0"/>
                <w:bCs w:val="0"/>
                <w:i w:val="0"/>
                <w:color w:val="auto"/>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auto"/>
                <w:kern w:val="0"/>
                <w:sz w:val="24"/>
                <w:szCs w:val="24"/>
                <w:u w:val="none"/>
                <w:lang w:val="en-US" w:eastAsia="zh-CN" w:bidi="ar"/>
              </w:rPr>
              <w:t>5、密封内窥镜。</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12</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腹腔镜手术器械：   直/弯/钩剪刀</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B.金属管校正调直+磨刀口</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B.金属管校正调直+磨刀口</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13</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腹腔镜手术器械：穿刺器、钛夹钳、施夹器、持针钳分离钳、抓钳、取石钳、冲吸器、造影钳、活检钳、撑开器、扇形钳、打结钳、切开刀、气腹针</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B.金属管校正调直+整形钳口</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B.金属管校正调直+整形钳口</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14</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腹腔镜手术器械：电钩、电棒、电铲、电针</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A.全拆维修+更换绝缘层+导电接头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B.更换导电接头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A.全拆维修+更换绝缘层+导电接头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B.更换导电接头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15</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腹腔镜手术器械：双极电凝钳/百克钳/百科剪</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A.全拆维修+钳口+钳芯绝缘隔套+手柄线缆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B.更换内部线、连接销/片，钳芯绝缘隔套</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C.维修手柄线缆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D.激光焊接连接销</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A.全拆维修+钳口+钳芯绝缘隔套+手柄线缆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B.更换内部线、连接销/片，钳芯绝缘隔套</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C.维修手柄线缆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D.激光焊接连接销</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16</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腹腔镜手术器械：单/双极电凝线</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A.维修断裂线缆+导电头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B.更换导电头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C.维修断裂线缆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A.维修断裂线缆+导电头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B.更换导电头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C.维修断裂线缆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17</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腹腔镜手术器械：等离子电切线</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A.维修断裂线缆+导电头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B.更换导电头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C.维修断裂线缆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A.维修断裂线缆+导电头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B.更换导电头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C.维修断裂线缆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18</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宫腔镜镜手术器械：异物钳、剪刀、活检钳、抓钳、宫颈钳/连接器、子宫切除器、</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B.金属管校正调直+磨刀口</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B.金属管校正调直+磨刀口</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19</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电切操作手件</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A.全拆维修+配件更换+部件加工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B.电极绝缘维修+部件加工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C.连接螺柱更换</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D.金属管管校正调直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A.全拆维修+配件更换+部件加工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B.电极绝缘维修+部件加工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C.连接螺柱更换</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D.金属管管校正调直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20</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内/外鞘</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A.全拆维修+配件更换+部件加工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B.更换陶瓷头(或阀门）+部件加工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C.连接螺柱更换</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D.金属管校正调直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A.全拆维修+配件更换+部件加工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B.更换陶瓷头(或阀门）+部件加工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C.连接螺柱更换</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D.金属管校正调直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21</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膀胱镜/输尿管镜手术器械：活检钳、剪刀、异物钳、抓钳、髓核钳</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B.金属管校正调直+磨刀口</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B.金属管校正调直+磨刀口</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22</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五官科手术器械：组织剪/钳、咬骨钳、异物钳、息肉剪/钳、开放钳、咬切钳、肺叶钳、造影钳、打结钳、扇形钳</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国产</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A.全拆维修+更换或激光焊接连接销/片或内杆或外管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color w:val="auto"/>
                <w:sz w:val="24"/>
                <w:szCs w:val="24"/>
                <w:u w:val="none"/>
              </w:rPr>
            </w:pP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B.金属管校正调直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23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导光束</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进口</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auto"/>
                <w:sz w:val="24"/>
                <w:szCs w:val="24"/>
                <w:u w:val="none"/>
              </w:rPr>
            </w:pPr>
            <w:r>
              <w:rPr>
                <w:rFonts w:hint="eastAsia" w:asciiTheme="minorEastAsia" w:hAnsiTheme="minorEastAsia" w:eastAsiaTheme="minorEastAsia" w:cstheme="minorEastAsia"/>
                <w:b w:val="0"/>
                <w:bCs w:val="0"/>
                <w:i w:val="0"/>
                <w:color w:val="auto"/>
                <w:kern w:val="0"/>
                <w:sz w:val="24"/>
                <w:szCs w:val="24"/>
                <w:u w:val="none"/>
                <w:lang w:val="en-US" w:eastAsia="zh-CN" w:bidi="ar"/>
              </w:rPr>
              <w:t>维修导光束断裂</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4"/>
                <w:szCs w:val="24"/>
                <w:u w:val="none"/>
              </w:rPr>
            </w:pPr>
          </w:p>
        </w:tc>
      </w:tr>
    </w:tbl>
    <w:p>
      <w:pPr>
        <w:widowControl/>
        <w:shd w:val="clear" w:color="auto" w:fill="FFFFFF"/>
        <w:wordWrap w:val="0"/>
        <w:spacing w:line="360" w:lineRule="auto"/>
        <w:jc w:val="left"/>
        <w:rPr>
          <w:rFonts w:cs="Segoe UI" w:asciiTheme="minorEastAsia" w:hAnsiTheme="minorEastAsia"/>
          <w:color w:val="333333"/>
          <w:kern w:val="0"/>
          <w:sz w:val="24"/>
          <w:szCs w:val="24"/>
        </w:rPr>
      </w:pP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注：“品目及报价表”为多页的，每页均需由法定代表人或授权代表签字并加盖公章。</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供应商名称（盖章）：</w:t>
      </w: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法定代表人或授权代表（签字）：　　　　　　　</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日期：</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jc w:val="center"/>
        <w:rPr>
          <w:rFonts w:cs="Segoe UI" w:asciiTheme="minorEastAsia" w:hAnsiTheme="minorEastAsia"/>
          <w:color w:val="333333"/>
          <w:kern w:val="0"/>
          <w:sz w:val="30"/>
          <w:szCs w:val="30"/>
        </w:rPr>
      </w:pPr>
      <w:r>
        <w:rPr>
          <w:rFonts w:hint="eastAsia" w:cs="Segoe UI" w:asciiTheme="minorEastAsia" w:hAnsiTheme="minorEastAsia"/>
          <w:b/>
          <w:bCs/>
          <w:color w:val="333333"/>
          <w:kern w:val="0"/>
          <w:sz w:val="30"/>
          <w:szCs w:val="30"/>
        </w:rPr>
        <w:t>商务要求、技术要求偏离表</w:t>
      </w:r>
    </w:p>
    <w:tbl>
      <w:tblPr>
        <w:tblStyle w:val="11"/>
        <w:tblW w:w="8522" w:type="dxa"/>
        <w:jc w:val="center"/>
        <w:tblInd w:w="0" w:type="dxa"/>
        <w:tblLayout w:type="fixed"/>
        <w:tblCellMar>
          <w:top w:w="0" w:type="dxa"/>
          <w:left w:w="0" w:type="dxa"/>
          <w:bottom w:w="0" w:type="dxa"/>
          <w:right w:w="0" w:type="dxa"/>
        </w:tblCellMar>
      </w:tblPr>
      <w:tblGrid>
        <w:gridCol w:w="1056"/>
        <w:gridCol w:w="2299"/>
        <w:gridCol w:w="2299"/>
        <w:gridCol w:w="2868"/>
      </w:tblGrid>
      <w:tr>
        <w:tblPrEx>
          <w:tblLayout w:type="fixed"/>
          <w:tblCellMar>
            <w:top w:w="0" w:type="dxa"/>
            <w:left w:w="0" w:type="dxa"/>
            <w:bottom w:w="0" w:type="dxa"/>
            <w:right w:w="0" w:type="dxa"/>
          </w:tblCellMar>
        </w:tblPrEx>
        <w:trPr>
          <w:trHeight w:val="600" w:hRule="atLeast"/>
          <w:jc w:val="center"/>
        </w:trPr>
        <w:tc>
          <w:tcPr>
            <w:tcW w:w="10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序号</w:t>
            </w:r>
          </w:p>
        </w:tc>
        <w:tc>
          <w:tcPr>
            <w:tcW w:w="22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招标要求</w:t>
            </w:r>
          </w:p>
        </w:tc>
        <w:tc>
          <w:tcPr>
            <w:tcW w:w="22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投标响应</w:t>
            </w:r>
          </w:p>
        </w:tc>
        <w:tc>
          <w:tcPr>
            <w:tcW w:w="28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偏离及其影响</w:t>
            </w:r>
          </w:p>
        </w:tc>
      </w:tr>
      <w:tr>
        <w:tblPrEx>
          <w:tblLayout w:type="fixed"/>
          <w:tblCellMar>
            <w:top w:w="0" w:type="dxa"/>
            <w:left w:w="0" w:type="dxa"/>
            <w:bottom w:w="0" w:type="dxa"/>
            <w:right w:w="0" w:type="dxa"/>
          </w:tblCellMar>
        </w:tblPrEx>
        <w:trPr>
          <w:trHeight w:val="465" w:hRule="atLeast"/>
          <w:jc w:val="center"/>
        </w:trPr>
        <w:tc>
          <w:tcPr>
            <w:tcW w:w="10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 </w:t>
            </w:r>
          </w:p>
        </w:tc>
        <w:tc>
          <w:tcPr>
            <w:tcW w:w="2299"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 </w:t>
            </w:r>
          </w:p>
        </w:tc>
        <w:tc>
          <w:tcPr>
            <w:tcW w:w="2299"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 </w:t>
            </w:r>
          </w:p>
        </w:tc>
        <w:tc>
          <w:tcPr>
            <w:tcW w:w="2868"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 </w:t>
            </w:r>
          </w:p>
        </w:tc>
      </w:tr>
    </w:tbl>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注：投标文件中与招标文件要求有负偏离的内容必须在此表中列出，否则视为无效投标。供应商必须据实填写，不得虚假响应，否则投标无效并按规定追究其相关责任。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法定代表人或授权代表签字：</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日期:</w:t>
      </w:r>
    </w:p>
    <w:p>
      <w:pPr>
        <w:widowControl/>
        <w:shd w:val="clear" w:color="auto" w:fill="FFFFFF"/>
        <w:wordWrap w:val="0"/>
        <w:spacing w:line="360" w:lineRule="auto"/>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jc w:val="center"/>
        <w:rPr>
          <w:rFonts w:cs="Segoe UI" w:asciiTheme="minorEastAsia" w:hAnsiTheme="minorEastAsia"/>
          <w:color w:val="333333"/>
          <w:kern w:val="0"/>
          <w:sz w:val="30"/>
          <w:szCs w:val="30"/>
        </w:rPr>
      </w:pPr>
      <w:bookmarkStart w:id="0" w:name="_Toc95295163"/>
      <w:r>
        <w:rPr>
          <w:rFonts w:hint="eastAsia" w:cs="Segoe UI" w:asciiTheme="minorEastAsia" w:hAnsiTheme="minorEastAsia"/>
          <w:b/>
          <w:bCs/>
          <w:color w:val="333333"/>
          <w:kern w:val="0"/>
          <w:sz w:val="30"/>
          <w:szCs w:val="30"/>
        </w:rPr>
        <w:t>法定代表人身份授权书</w:t>
      </w:r>
      <w:bookmarkEnd w:id="0"/>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四川省妇幼保健院：</w:t>
      </w:r>
    </w:p>
    <w:p>
      <w:pPr>
        <w:widowControl/>
        <w:shd w:val="clear" w:color="auto" w:fill="FFFFFF"/>
        <w:wordWrap w:val="0"/>
        <w:spacing w:line="360" w:lineRule="auto"/>
        <w:ind w:firstLine="573"/>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（投标人名称）</w:t>
      </w:r>
      <w:r>
        <w:rPr>
          <w:rFonts w:hint="eastAsia" w:cs="Segoe UI" w:asciiTheme="minorEastAsia" w:hAnsiTheme="minorEastAsia"/>
          <w:color w:val="333333"/>
          <w:kern w:val="0"/>
          <w:sz w:val="24"/>
          <w:szCs w:val="24"/>
          <w:u w:val="single"/>
        </w:rPr>
        <w:t>（法定代表人姓名、职务）</w:t>
      </w:r>
      <w:r>
        <w:rPr>
          <w:rFonts w:hint="eastAsia" w:cs="Segoe UI" w:asciiTheme="minorEastAsia" w:hAnsiTheme="minorEastAsia"/>
          <w:color w:val="333333"/>
          <w:kern w:val="0"/>
          <w:sz w:val="24"/>
          <w:szCs w:val="24"/>
        </w:rPr>
        <w:t>授权</w:t>
      </w:r>
      <w:r>
        <w:rPr>
          <w:rFonts w:hint="eastAsia" w:cs="Segoe UI" w:asciiTheme="minorEastAsia" w:hAnsiTheme="minorEastAsia"/>
          <w:color w:val="333333"/>
          <w:kern w:val="0"/>
          <w:sz w:val="24"/>
          <w:szCs w:val="24"/>
          <w:u w:val="single"/>
        </w:rPr>
        <w:t>（被授权人姓名、职务）</w:t>
      </w:r>
      <w:r>
        <w:rPr>
          <w:rFonts w:hint="eastAsia" w:cs="Segoe UI" w:asciiTheme="minorEastAsia" w:hAnsiTheme="minorEastAsia"/>
          <w:color w:val="333333"/>
          <w:kern w:val="0"/>
          <w:sz w:val="24"/>
          <w:szCs w:val="24"/>
        </w:rPr>
        <w:t>为我方</w:t>
      </w:r>
      <w:r>
        <w:rPr>
          <w:rFonts w:hint="eastAsia" w:cs="Segoe UI" w:asciiTheme="minorEastAsia" w:hAnsiTheme="minorEastAsia"/>
          <w:color w:val="333333"/>
          <w:kern w:val="0"/>
          <w:sz w:val="24"/>
          <w:szCs w:val="24"/>
          <w:u w:val="single"/>
        </w:rPr>
        <w:t>“ ”</w:t>
      </w:r>
      <w:r>
        <w:rPr>
          <w:rFonts w:hint="eastAsia" w:cs="Segoe UI" w:asciiTheme="minorEastAsia" w:hAnsiTheme="minorEastAsia"/>
          <w:color w:val="333333"/>
          <w:kern w:val="0"/>
          <w:sz w:val="24"/>
          <w:szCs w:val="24"/>
        </w:rPr>
        <w:t>项目投标活动的合法代表，以我方名义全权处理该项目有关投标、签订合同以及执行合同等一切事宜。</w:t>
      </w:r>
    </w:p>
    <w:p>
      <w:pPr>
        <w:widowControl/>
        <w:shd w:val="clear" w:color="auto" w:fill="FFFFFF"/>
        <w:wordWrap w:val="0"/>
        <w:spacing w:line="360" w:lineRule="auto"/>
        <w:ind w:firstLine="480" w:firstLineChars="200"/>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特此声明。</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投标人单位名称：</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法定代表人签字：</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授权代表签字：</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日期：</w:t>
      </w:r>
    </w:p>
    <w:p>
      <w:pPr>
        <w:widowControl/>
        <w:shd w:val="clear" w:color="auto" w:fill="FFFFFF"/>
        <w:wordWrap w:val="0"/>
        <w:spacing w:line="360" w:lineRule="auto"/>
        <w:ind w:firstLine="12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★说明：上述证明文件附有法定代表人、被授权代表身份证复印件（盖章）时才能生效。</w:t>
      </w:r>
    </w:p>
    <w:p>
      <w:pPr>
        <w:widowControl/>
        <w:shd w:val="clear" w:color="auto" w:fill="FFFFFF"/>
        <w:wordWrap w:val="0"/>
        <w:spacing w:line="360" w:lineRule="auto"/>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jc w:val="center"/>
        <w:rPr>
          <w:rFonts w:cs="Segoe UI" w:asciiTheme="minorEastAsia" w:hAnsiTheme="minorEastAsia"/>
          <w:color w:val="333333"/>
          <w:kern w:val="0"/>
          <w:sz w:val="30"/>
          <w:szCs w:val="30"/>
        </w:rPr>
      </w:pPr>
      <w:r>
        <w:rPr>
          <w:rFonts w:hint="eastAsia" w:cs="Segoe UI" w:asciiTheme="minorEastAsia" w:hAnsiTheme="minorEastAsia"/>
          <w:b/>
          <w:bCs/>
          <w:color w:val="333333"/>
          <w:kern w:val="0"/>
          <w:sz w:val="30"/>
          <w:szCs w:val="30"/>
        </w:rPr>
        <w:t>用户情况表</w:t>
      </w:r>
    </w:p>
    <w:tbl>
      <w:tblPr>
        <w:tblStyle w:val="11"/>
        <w:tblW w:w="8360" w:type="dxa"/>
        <w:jc w:val="center"/>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8"/>
        <w:gridCol w:w="3174"/>
        <w:gridCol w:w="1417"/>
        <w:gridCol w:w="1559"/>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1248" w:type="dxa"/>
            <w:vMerge w:val="restart"/>
            <w:tcMar>
              <w:top w:w="0" w:type="dxa"/>
              <w:left w:w="108" w:type="dxa"/>
              <w:bottom w:w="0" w:type="dxa"/>
              <w:right w:w="108" w:type="dxa"/>
            </w:tcMar>
            <w:vAlign w:val="center"/>
          </w:tcPr>
          <w:p>
            <w:pPr>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省内医疗机构</w:t>
            </w:r>
          </w:p>
        </w:tc>
        <w:tc>
          <w:tcPr>
            <w:tcW w:w="3174"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用户名称</w:t>
            </w:r>
          </w:p>
        </w:tc>
        <w:tc>
          <w:tcPr>
            <w:tcW w:w="1417"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服务期限</w:t>
            </w:r>
          </w:p>
        </w:tc>
        <w:tc>
          <w:tcPr>
            <w:tcW w:w="1559"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联系人及联系方式</w:t>
            </w:r>
          </w:p>
        </w:tc>
        <w:tc>
          <w:tcPr>
            <w:tcW w:w="962"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9" w:hRule="atLeast"/>
          <w:jc w:val="center"/>
        </w:trPr>
        <w:tc>
          <w:tcPr>
            <w:tcW w:w="1248" w:type="dxa"/>
            <w:vMerge w:val="continue"/>
            <w:vAlign w:val="center"/>
          </w:tcPr>
          <w:p>
            <w:pPr>
              <w:wordWrap w:val="0"/>
              <w:spacing w:line="360" w:lineRule="auto"/>
              <w:jc w:val="center"/>
              <w:rPr>
                <w:rFonts w:cs="宋体" w:asciiTheme="minorEastAsia" w:hAnsiTheme="minorEastAsia"/>
                <w:kern w:val="0"/>
                <w:sz w:val="18"/>
                <w:szCs w:val="18"/>
              </w:rPr>
            </w:pPr>
          </w:p>
        </w:tc>
        <w:tc>
          <w:tcPr>
            <w:tcW w:w="3174"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1417"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1559"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962"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248" w:type="dxa"/>
            <w:vMerge w:val="continue"/>
            <w:vAlign w:val="center"/>
          </w:tcPr>
          <w:p>
            <w:pPr>
              <w:wordWrap w:val="0"/>
              <w:spacing w:line="360" w:lineRule="auto"/>
              <w:jc w:val="center"/>
              <w:rPr>
                <w:rFonts w:cs="宋体" w:asciiTheme="minorEastAsia" w:hAnsiTheme="minorEastAsia"/>
                <w:kern w:val="0"/>
                <w:sz w:val="18"/>
                <w:szCs w:val="18"/>
              </w:rPr>
            </w:pPr>
          </w:p>
        </w:tc>
        <w:tc>
          <w:tcPr>
            <w:tcW w:w="3174"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1417"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1559"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962"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r>
    </w:tbl>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法定代表人或授权代表签字：</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日期</w:t>
      </w:r>
      <w:r>
        <w:rPr>
          <w:rFonts w:hint="eastAsia" w:cs="Segoe UI" w:asciiTheme="minorEastAsia" w:hAnsiTheme="minorEastAsia"/>
          <w:b/>
          <w:bCs/>
          <w:color w:val="333333"/>
          <w:kern w:val="0"/>
          <w:sz w:val="24"/>
          <w:szCs w:val="24"/>
        </w:rPr>
        <w:t>:</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ind w:firstLine="480"/>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附件5：</w:t>
      </w:r>
    </w:p>
    <w:p>
      <w:pPr>
        <w:widowControl/>
        <w:shd w:val="clear" w:color="auto" w:fill="FFFFFF"/>
        <w:wordWrap w:val="0"/>
        <w:spacing w:line="360" w:lineRule="auto"/>
        <w:jc w:val="center"/>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《四川省妇幼保健院反商业贿赂承诺书》</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360" w:lineRule="auto"/>
        <w:ind w:firstLine="480"/>
        <w:jc w:val="left"/>
        <w:rPr>
          <w:rFonts w:hint="eastAsia" w:cs="Segoe UI" w:asciiTheme="minorEastAsia" w:hAnsiTheme="minorEastAsia" w:eastAsiaTheme="minorEastAsia"/>
          <w:color w:val="333333"/>
          <w:kern w:val="0"/>
          <w:sz w:val="18"/>
          <w:szCs w:val="18"/>
          <w:lang w:eastAsia="zh-CN"/>
        </w:rPr>
      </w:pPr>
      <w:r>
        <w:rPr>
          <w:rFonts w:hint="eastAsia" w:cs="Segoe UI" w:asciiTheme="minorEastAsia" w:hAnsiTheme="minorEastAsia"/>
          <w:color w:val="333333"/>
          <w:kern w:val="0"/>
          <w:sz w:val="24"/>
          <w:szCs w:val="24"/>
        </w:rPr>
        <w:t>六、项目名称：全院设备零配件及基础设备主机配件</w:t>
      </w:r>
      <w:r>
        <w:rPr>
          <w:rFonts w:hint="eastAsia" w:cs="Segoe UI" w:asciiTheme="minorEastAsia" w:hAnsiTheme="minorEastAsia"/>
          <w:color w:val="333333"/>
          <w:kern w:val="0"/>
          <w:sz w:val="24"/>
          <w:szCs w:val="24"/>
          <w:lang w:eastAsia="zh-CN"/>
        </w:rPr>
        <w:t>采购</w:t>
      </w:r>
    </w:p>
    <w:p>
      <w:pPr>
        <w:widowControl/>
        <w:shd w:val="clear" w:color="auto" w:fill="FFFFFF"/>
        <w:wordWrap w:val="0"/>
        <w:spacing w:line="360" w:lineRule="auto"/>
        <w:ind w:firstLine="480"/>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本《承诺书》一式二份（一份由承诺人自存；一份随竞价书传递）</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p>
    <w:p>
      <w:pPr>
        <w:widowControl/>
        <w:shd w:val="clear" w:color="auto" w:fill="FFFFFF"/>
        <w:wordWrap w:val="0"/>
        <w:spacing w:line="360" w:lineRule="auto"/>
        <w:ind w:firstLine="120"/>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承诺企业名称（盖章）：</w:t>
      </w:r>
    </w:p>
    <w:p>
      <w:pPr>
        <w:widowControl/>
        <w:shd w:val="clear" w:color="auto" w:fill="FFFFFF"/>
        <w:wordWrap w:val="0"/>
        <w:spacing w:line="360" w:lineRule="auto"/>
        <w:ind w:firstLine="120"/>
        <w:jc w:val="left"/>
        <w:rPr>
          <w:rFonts w:hint="eastAsia"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法人代表或委托代理人（承诺人）：</w:t>
      </w:r>
    </w:p>
    <w:p>
      <w:pPr>
        <w:pStyle w:val="13"/>
        <w:rPr>
          <w:rFonts w:hint="eastAsia"/>
        </w:rPr>
      </w:pPr>
    </w:p>
    <w:p>
      <w:pPr>
        <w:widowControl/>
        <w:shd w:val="clear" w:color="auto" w:fill="FFFFFF"/>
        <w:wordWrap w:val="0"/>
        <w:spacing w:line="360" w:lineRule="auto"/>
        <w:jc w:val="left"/>
        <w:rPr>
          <w:rFonts w:hint="eastAsia"/>
        </w:rPr>
      </w:pPr>
      <w:r>
        <w:rPr>
          <w:rFonts w:hint="eastAsia" w:cs="Segoe UI" w:asciiTheme="minorEastAsia" w:hAnsiTheme="minorEastAsia"/>
          <w:b/>
          <w:color w:val="333333"/>
          <w:kern w:val="0"/>
          <w:sz w:val="30"/>
          <w:szCs w:val="30"/>
        </w:rPr>
        <w:t>附件</w:t>
      </w:r>
      <w:r>
        <w:rPr>
          <w:rFonts w:hint="eastAsia" w:cs="Segoe UI" w:asciiTheme="minorEastAsia" w:hAnsiTheme="minorEastAsia"/>
          <w:b/>
          <w:color w:val="333333"/>
          <w:kern w:val="0"/>
          <w:sz w:val="30"/>
          <w:szCs w:val="30"/>
          <w:lang w:val="en-US" w:eastAsia="zh-CN"/>
        </w:rPr>
        <w:t>6</w:t>
      </w:r>
      <w:r>
        <w:rPr>
          <w:rFonts w:hint="eastAsia" w:cs="Segoe UI" w:asciiTheme="minorEastAsia" w:hAnsiTheme="minorEastAsia"/>
          <w:b/>
          <w:color w:val="333333"/>
          <w:kern w:val="0"/>
          <w:sz w:val="30"/>
          <w:szCs w:val="30"/>
        </w:rPr>
        <w:t>：</w:t>
      </w:r>
    </w:p>
    <w:p>
      <w:pPr>
        <w:spacing w:line="360" w:lineRule="auto"/>
        <w:ind w:left="-424" w:leftChars="-202" w:right="-483" w:rightChars="-230"/>
        <w:jc w:val="center"/>
        <w:rPr>
          <w:rFonts w:hint="eastAsia"/>
          <w:lang w:eastAsia="zh-CN"/>
        </w:rPr>
      </w:pPr>
      <w:r>
        <w:rPr>
          <w:rFonts w:hint="eastAsia" w:asciiTheme="minorEastAsia" w:hAnsiTheme="minorEastAsia" w:eastAsiaTheme="minorEastAsia" w:cstheme="minorEastAsia"/>
          <w:b/>
          <w:bCs w:val="0"/>
          <w:sz w:val="30"/>
          <w:szCs w:val="30"/>
          <w:lang w:eastAsia="zh-CN"/>
        </w:rPr>
        <w:t>四川省妇幼保健院医学装备部考核表（</w:t>
      </w:r>
      <w:r>
        <w:rPr>
          <w:rFonts w:hint="eastAsia" w:asciiTheme="minorEastAsia" w:hAnsiTheme="minorEastAsia" w:eastAsiaTheme="minorEastAsia" w:cstheme="minorEastAsia"/>
          <w:b/>
          <w:bCs w:val="0"/>
          <w:sz w:val="30"/>
          <w:szCs w:val="30"/>
          <w:lang w:val="en-US" w:eastAsia="zh-CN"/>
        </w:rPr>
        <w:t>维修服务</w:t>
      </w:r>
      <w:r>
        <w:rPr>
          <w:rFonts w:hint="eastAsia" w:asciiTheme="minorEastAsia" w:hAnsiTheme="minorEastAsia" w:eastAsiaTheme="minorEastAsia" w:cstheme="minorEastAsia"/>
          <w:b/>
          <w:bCs w:val="0"/>
          <w:sz w:val="30"/>
          <w:szCs w:val="30"/>
          <w:lang w:eastAsia="zh-CN"/>
        </w:rPr>
        <w:t>）</w:t>
      </w:r>
    </w:p>
    <w:tbl>
      <w:tblPr>
        <w:tblStyle w:val="11"/>
        <w:tblW w:w="8668"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3"/>
        <w:gridCol w:w="510"/>
        <w:gridCol w:w="2145"/>
        <w:gridCol w:w="1920"/>
        <w:gridCol w:w="13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项目</w:t>
            </w:r>
            <w:r>
              <w:rPr>
                <w:rFonts w:hint="eastAsia" w:asciiTheme="minorEastAsia" w:hAnsiTheme="minorEastAsia" w:eastAsiaTheme="minorEastAsia" w:cstheme="minorEastAsia"/>
                <w:color w:val="000000"/>
                <w:sz w:val="24"/>
                <w:szCs w:val="24"/>
              </w:rPr>
              <w:t>名称</w:t>
            </w:r>
          </w:p>
        </w:tc>
        <w:tc>
          <w:tcPr>
            <w:tcW w:w="673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项目</w:t>
            </w:r>
            <w:r>
              <w:rPr>
                <w:rFonts w:hint="eastAsia" w:asciiTheme="minorEastAsia" w:hAnsiTheme="minorEastAsia" w:eastAsiaTheme="minorEastAsia" w:cstheme="minorEastAsia"/>
                <w:color w:val="000000"/>
                <w:sz w:val="24"/>
                <w:szCs w:val="24"/>
              </w:rPr>
              <w:t>起止时间</w:t>
            </w:r>
          </w:p>
        </w:tc>
        <w:tc>
          <w:tcPr>
            <w:tcW w:w="673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项目执行</w:t>
            </w:r>
            <w:r>
              <w:rPr>
                <w:rFonts w:hint="eastAsia" w:asciiTheme="minorEastAsia" w:hAnsiTheme="minorEastAsia" w:eastAsiaTheme="minorEastAsia" w:cstheme="minorEastAsia"/>
                <w:color w:val="000000"/>
                <w:sz w:val="24"/>
                <w:szCs w:val="24"/>
              </w:rPr>
              <w:t>公司</w:t>
            </w:r>
          </w:p>
        </w:tc>
        <w:tc>
          <w:tcPr>
            <w:tcW w:w="673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考核项目</w:t>
            </w:r>
          </w:p>
        </w:tc>
        <w:tc>
          <w:tcPr>
            <w:tcW w:w="51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5385"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评分细则</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1933"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巡查及</w:t>
            </w:r>
            <w:r>
              <w:rPr>
                <w:rFonts w:hint="eastAsia" w:asciiTheme="minorEastAsia" w:hAnsiTheme="minorEastAsia" w:eastAsiaTheme="minorEastAsia" w:cstheme="minorEastAsia"/>
                <w:color w:val="000000"/>
                <w:sz w:val="24"/>
                <w:szCs w:val="24"/>
              </w:rPr>
              <w:t>档案</w:t>
            </w:r>
            <w:r>
              <w:rPr>
                <w:rFonts w:hint="eastAsia" w:asciiTheme="minorEastAsia" w:hAnsiTheme="minorEastAsia" w:eastAsiaTheme="minorEastAsia" w:cstheme="minorEastAsia"/>
                <w:color w:val="000000"/>
                <w:sz w:val="24"/>
                <w:szCs w:val="24"/>
                <w:lang w:eastAsia="zh-CN"/>
              </w:rPr>
              <w:t>管理</w:t>
            </w: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5385" w:type="dxa"/>
            <w:gridSpan w:val="3"/>
            <w:tcBorders>
              <w:top w:val="single" w:color="auto" w:sz="4" w:space="0"/>
              <w:left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A、按时巡查、记录完整（得满分）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B、未按时巡查或记录缺失（一次扣 3 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C、无人巡查或无巡查记录（本项不得分）</w:t>
            </w:r>
          </w:p>
        </w:tc>
        <w:tc>
          <w:tcPr>
            <w:tcW w:w="840" w:type="dxa"/>
            <w:tcBorders>
              <w:top w:val="single" w:color="auto" w:sz="4" w:space="0"/>
              <w:left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维护</w:t>
            </w:r>
            <w:r>
              <w:rPr>
                <w:rFonts w:hint="eastAsia" w:asciiTheme="minorEastAsia" w:hAnsiTheme="minorEastAsia" w:eastAsiaTheme="minorEastAsia" w:cstheme="minorEastAsia"/>
                <w:color w:val="000000"/>
                <w:sz w:val="24"/>
                <w:szCs w:val="24"/>
              </w:rPr>
              <w:t>内容</w:t>
            </w: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w:t>
            </w:r>
          </w:p>
        </w:tc>
        <w:tc>
          <w:tcPr>
            <w:tcW w:w="5385"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A.按</w:t>
            </w:r>
            <w:r>
              <w:rPr>
                <w:rFonts w:hint="eastAsia" w:asciiTheme="minorEastAsia" w:hAnsiTheme="minorEastAsia" w:eastAsiaTheme="minorEastAsia" w:cstheme="minorEastAsia"/>
                <w:color w:val="000000"/>
                <w:sz w:val="24"/>
                <w:szCs w:val="24"/>
                <w:lang w:eastAsia="zh-CN"/>
              </w:rPr>
              <w:t>维护</w:t>
            </w:r>
            <w:r>
              <w:rPr>
                <w:rFonts w:hint="eastAsia" w:asciiTheme="minorEastAsia" w:hAnsiTheme="minorEastAsia" w:eastAsiaTheme="minorEastAsia" w:cstheme="minorEastAsia"/>
                <w:color w:val="000000"/>
                <w:sz w:val="24"/>
                <w:szCs w:val="24"/>
              </w:rPr>
              <w:t>计划完成全部保养内容（得满分）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B.未按</w:t>
            </w:r>
            <w:r>
              <w:rPr>
                <w:rFonts w:hint="eastAsia" w:asciiTheme="minorEastAsia" w:hAnsiTheme="minorEastAsia" w:eastAsiaTheme="minorEastAsia" w:cstheme="minorEastAsia"/>
                <w:color w:val="000000"/>
                <w:sz w:val="24"/>
                <w:szCs w:val="24"/>
                <w:lang w:eastAsia="zh-CN"/>
              </w:rPr>
              <w:t>维护</w:t>
            </w:r>
            <w:r>
              <w:rPr>
                <w:rFonts w:hint="eastAsia" w:asciiTheme="minorEastAsia" w:hAnsiTheme="minorEastAsia" w:eastAsiaTheme="minorEastAsia" w:cstheme="minorEastAsia"/>
                <w:color w:val="000000"/>
                <w:sz w:val="24"/>
                <w:szCs w:val="24"/>
              </w:rPr>
              <w:t>计划完成保养内容（少一条扣三分）</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5" w:hRule="atLeast"/>
        </w:trPr>
        <w:tc>
          <w:tcPr>
            <w:tcW w:w="1933"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维修响应</w:t>
            </w:r>
          </w:p>
        </w:tc>
        <w:tc>
          <w:tcPr>
            <w:tcW w:w="510"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w:t>
            </w:r>
          </w:p>
        </w:tc>
        <w:tc>
          <w:tcPr>
            <w:tcW w:w="5385" w:type="dxa"/>
            <w:gridSpan w:val="3"/>
            <w:tcBorders>
              <w:top w:val="single" w:color="auto" w:sz="4" w:space="0"/>
              <w:left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A、按要求时间到达并及时处理完成（得满分）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B、按要求时间到达但因</w:t>
            </w:r>
            <w:r>
              <w:rPr>
                <w:rFonts w:hint="eastAsia" w:asciiTheme="minorEastAsia" w:hAnsiTheme="minorEastAsia" w:eastAsiaTheme="minorEastAsia" w:cstheme="minorEastAsia"/>
                <w:color w:val="000000"/>
                <w:sz w:val="24"/>
                <w:szCs w:val="24"/>
                <w:lang w:eastAsia="zh-CN"/>
              </w:rPr>
              <w:t>中标公司</w:t>
            </w:r>
            <w:r>
              <w:rPr>
                <w:rFonts w:hint="eastAsia" w:asciiTheme="minorEastAsia" w:hAnsiTheme="minorEastAsia" w:eastAsiaTheme="minorEastAsia" w:cstheme="minorEastAsia"/>
                <w:color w:val="000000"/>
                <w:sz w:val="24"/>
                <w:szCs w:val="24"/>
              </w:rPr>
              <w:t>人为因素不能按要求时间内处理完成（一次扣 3 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C、超过要求时间到达现场（一次扣 6 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D、未到达现场（本项不得分）</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1933"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备件材料</w:t>
            </w:r>
          </w:p>
        </w:tc>
        <w:tc>
          <w:tcPr>
            <w:tcW w:w="510"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5385" w:type="dxa"/>
            <w:gridSpan w:val="3"/>
            <w:tcBorders>
              <w:top w:val="single" w:color="auto" w:sz="4" w:space="0"/>
              <w:left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A、备件充足、齐全且规格、品质为原厂全新配件（得满分）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B、备件较为齐全，但不为原厂全新配件（扣 3分）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C、备件种类不齐全（扣 5 分）</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D、无备件（本项不得分）</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维修质量</w:t>
            </w: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40</w:t>
            </w:r>
          </w:p>
        </w:tc>
        <w:tc>
          <w:tcPr>
            <w:tcW w:w="5385"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维修质量（优秀 </w:t>
            </w:r>
            <w:r>
              <w:rPr>
                <w:rFonts w:hint="eastAsia" w:asciiTheme="minorEastAsia" w:hAnsiTheme="minorEastAsia" w:eastAsiaTheme="minorEastAsia" w:cstheme="minorEastAsia"/>
                <w:color w:val="000000"/>
                <w:sz w:val="24"/>
                <w:szCs w:val="24"/>
                <w:lang w:val="en-US" w:eastAsia="zh-CN"/>
              </w:rPr>
              <w:t>40</w:t>
            </w:r>
            <w:r>
              <w:rPr>
                <w:rFonts w:hint="eastAsia" w:asciiTheme="minorEastAsia" w:hAnsiTheme="minorEastAsia" w:eastAsiaTheme="minorEastAsia" w:cstheme="minorEastAsia"/>
                <w:color w:val="000000"/>
                <w:sz w:val="24"/>
                <w:szCs w:val="24"/>
              </w:rPr>
              <w:t xml:space="preserve">分/良好 </w:t>
            </w: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 xml:space="preserve"> 分/差 0分）</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最高分 100 分</w:t>
            </w:r>
          </w:p>
        </w:tc>
        <w:tc>
          <w:tcPr>
            <w:tcW w:w="51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w:t>
            </w:r>
          </w:p>
        </w:tc>
        <w:tc>
          <w:tcPr>
            <w:tcW w:w="5385"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90 分（含 90 分）以下为不合格，90 分（不含 90分）以上即为合格。</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93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使用科室签字：</w:t>
            </w:r>
          </w:p>
        </w:tc>
        <w:tc>
          <w:tcPr>
            <w:tcW w:w="2655"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p>
        </w:tc>
        <w:tc>
          <w:tcPr>
            <w:tcW w:w="19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管理科室签字：</w:t>
            </w:r>
          </w:p>
        </w:tc>
        <w:tc>
          <w:tcPr>
            <w:tcW w:w="2160"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9"/>
              <w:rPr>
                <w:rFonts w:hint="eastAsia" w:asciiTheme="minorEastAsia" w:hAnsiTheme="minorEastAsia" w:eastAsiaTheme="minorEastAsia" w:cstheme="minorEastAsia"/>
                <w:color w:val="000000"/>
                <w:sz w:val="24"/>
                <w:szCs w:val="24"/>
              </w:rPr>
            </w:pPr>
          </w:p>
        </w:tc>
      </w:tr>
    </w:tbl>
    <w:p>
      <w:pPr>
        <w:pStyle w:val="1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BC8BD8"/>
    <w:multiLevelType w:val="singleLevel"/>
    <w:tmpl w:val="95BC8BD8"/>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43C"/>
    <w:rsid w:val="00022C02"/>
    <w:rsid w:val="00032E86"/>
    <w:rsid w:val="00047CCC"/>
    <w:rsid w:val="0005596B"/>
    <w:rsid w:val="00074B48"/>
    <w:rsid w:val="000823A4"/>
    <w:rsid w:val="00094430"/>
    <w:rsid w:val="000C1916"/>
    <w:rsid w:val="000D53B6"/>
    <w:rsid w:val="000F62A5"/>
    <w:rsid w:val="00133DFA"/>
    <w:rsid w:val="00137469"/>
    <w:rsid w:val="0018557B"/>
    <w:rsid w:val="0018655C"/>
    <w:rsid w:val="00190928"/>
    <w:rsid w:val="001A27AA"/>
    <w:rsid w:val="001F149D"/>
    <w:rsid w:val="002425D6"/>
    <w:rsid w:val="00245DA9"/>
    <w:rsid w:val="002772B4"/>
    <w:rsid w:val="002965EC"/>
    <w:rsid w:val="002A1866"/>
    <w:rsid w:val="002C220F"/>
    <w:rsid w:val="00323154"/>
    <w:rsid w:val="0038288C"/>
    <w:rsid w:val="00393292"/>
    <w:rsid w:val="003C1D59"/>
    <w:rsid w:val="003F09B9"/>
    <w:rsid w:val="004243C5"/>
    <w:rsid w:val="00427956"/>
    <w:rsid w:val="00444228"/>
    <w:rsid w:val="00446A9B"/>
    <w:rsid w:val="00462111"/>
    <w:rsid w:val="00465844"/>
    <w:rsid w:val="004924A8"/>
    <w:rsid w:val="004C53F3"/>
    <w:rsid w:val="004D31F3"/>
    <w:rsid w:val="004E4904"/>
    <w:rsid w:val="004F30B9"/>
    <w:rsid w:val="00502A6A"/>
    <w:rsid w:val="00507D30"/>
    <w:rsid w:val="00552E85"/>
    <w:rsid w:val="0057022B"/>
    <w:rsid w:val="00577B7C"/>
    <w:rsid w:val="00586081"/>
    <w:rsid w:val="00596D7A"/>
    <w:rsid w:val="005C427C"/>
    <w:rsid w:val="005D6620"/>
    <w:rsid w:val="006139D7"/>
    <w:rsid w:val="00621C84"/>
    <w:rsid w:val="00631017"/>
    <w:rsid w:val="00666361"/>
    <w:rsid w:val="006668EE"/>
    <w:rsid w:val="006A675A"/>
    <w:rsid w:val="00720BDA"/>
    <w:rsid w:val="00732925"/>
    <w:rsid w:val="007412AC"/>
    <w:rsid w:val="00781399"/>
    <w:rsid w:val="007B050D"/>
    <w:rsid w:val="007C59C8"/>
    <w:rsid w:val="007E63CD"/>
    <w:rsid w:val="0082727D"/>
    <w:rsid w:val="00842E5D"/>
    <w:rsid w:val="00864999"/>
    <w:rsid w:val="008A342E"/>
    <w:rsid w:val="0092011A"/>
    <w:rsid w:val="00934387"/>
    <w:rsid w:val="00946893"/>
    <w:rsid w:val="00961901"/>
    <w:rsid w:val="00971A18"/>
    <w:rsid w:val="00976075"/>
    <w:rsid w:val="00986EC2"/>
    <w:rsid w:val="009D02C4"/>
    <w:rsid w:val="009D47EB"/>
    <w:rsid w:val="009F1F23"/>
    <w:rsid w:val="00A1246E"/>
    <w:rsid w:val="00A452E2"/>
    <w:rsid w:val="00A51E41"/>
    <w:rsid w:val="00A93D41"/>
    <w:rsid w:val="00AA617F"/>
    <w:rsid w:val="00AC4991"/>
    <w:rsid w:val="00AF514C"/>
    <w:rsid w:val="00B35349"/>
    <w:rsid w:val="00B378CE"/>
    <w:rsid w:val="00B840C0"/>
    <w:rsid w:val="00BE0941"/>
    <w:rsid w:val="00C23DEF"/>
    <w:rsid w:val="00C312CF"/>
    <w:rsid w:val="00C50CB0"/>
    <w:rsid w:val="00C849FC"/>
    <w:rsid w:val="00CB5706"/>
    <w:rsid w:val="00CC4FB7"/>
    <w:rsid w:val="00CD76E4"/>
    <w:rsid w:val="00CE4828"/>
    <w:rsid w:val="00CF3559"/>
    <w:rsid w:val="00D41B4F"/>
    <w:rsid w:val="00D602A2"/>
    <w:rsid w:val="00D767F0"/>
    <w:rsid w:val="00DC379F"/>
    <w:rsid w:val="00E35D8D"/>
    <w:rsid w:val="00E612F3"/>
    <w:rsid w:val="00E972AD"/>
    <w:rsid w:val="00EA590C"/>
    <w:rsid w:val="00EC01C6"/>
    <w:rsid w:val="00EE01B6"/>
    <w:rsid w:val="00EE6869"/>
    <w:rsid w:val="00F217C9"/>
    <w:rsid w:val="00F4459D"/>
    <w:rsid w:val="00F93C16"/>
    <w:rsid w:val="00FC3923"/>
    <w:rsid w:val="00FF2402"/>
    <w:rsid w:val="022B1C80"/>
    <w:rsid w:val="031B7848"/>
    <w:rsid w:val="032248C7"/>
    <w:rsid w:val="03360A84"/>
    <w:rsid w:val="03EF7F39"/>
    <w:rsid w:val="067A72C7"/>
    <w:rsid w:val="0B557C79"/>
    <w:rsid w:val="0F743BCE"/>
    <w:rsid w:val="163B3354"/>
    <w:rsid w:val="17D57746"/>
    <w:rsid w:val="1BA02DF9"/>
    <w:rsid w:val="1C5B6FD9"/>
    <w:rsid w:val="1DC96265"/>
    <w:rsid w:val="1F7E7275"/>
    <w:rsid w:val="20777DB3"/>
    <w:rsid w:val="21F96130"/>
    <w:rsid w:val="23B544E6"/>
    <w:rsid w:val="25420C37"/>
    <w:rsid w:val="25A83190"/>
    <w:rsid w:val="27156822"/>
    <w:rsid w:val="278F0112"/>
    <w:rsid w:val="286365E3"/>
    <w:rsid w:val="297612E9"/>
    <w:rsid w:val="2C8513EB"/>
    <w:rsid w:val="300564AC"/>
    <w:rsid w:val="332827A9"/>
    <w:rsid w:val="337B238E"/>
    <w:rsid w:val="341F19A0"/>
    <w:rsid w:val="34A63079"/>
    <w:rsid w:val="356F701A"/>
    <w:rsid w:val="36EB1671"/>
    <w:rsid w:val="38950F74"/>
    <w:rsid w:val="3CBE15E0"/>
    <w:rsid w:val="3D6657A8"/>
    <w:rsid w:val="40DD693C"/>
    <w:rsid w:val="42C5392E"/>
    <w:rsid w:val="43432C27"/>
    <w:rsid w:val="45D16F1B"/>
    <w:rsid w:val="4932124F"/>
    <w:rsid w:val="494E5D24"/>
    <w:rsid w:val="49A6228A"/>
    <w:rsid w:val="4A0014A9"/>
    <w:rsid w:val="4A2630EC"/>
    <w:rsid w:val="4C902E87"/>
    <w:rsid w:val="4D681C31"/>
    <w:rsid w:val="5075483D"/>
    <w:rsid w:val="55EC4900"/>
    <w:rsid w:val="56DF4CDA"/>
    <w:rsid w:val="5BE81C26"/>
    <w:rsid w:val="5D347AD7"/>
    <w:rsid w:val="5FE20CCB"/>
    <w:rsid w:val="60492E82"/>
    <w:rsid w:val="61D948ED"/>
    <w:rsid w:val="62546319"/>
    <w:rsid w:val="62BC2754"/>
    <w:rsid w:val="6563157F"/>
    <w:rsid w:val="664C4B84"/>
    <w:rsid w:val="67366FAB"/>
    <w:rsid w:val="6AA3318C"/>
    <w:rsid w:val="6BBF1192"/>
    <w:rsid w:val="6E2E2382"/>
    <w:rsid w:val="6FCD5774"/>
    <w:rsid w:val="6FD85880"/>
    <w:rsid w:val="7122649D"/>
    <w:rsid w:val="78276184"/>
    <w:rsid w:val="7877542E"/>
    <w:rsid w:val="7B7D5C23"/>
    <w:rsid w:val="7E2C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9"/>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8"/>
    <w:unhideWhenUsed/>
    <w:qFormat/>
    <w:uiPriority w:val="99"/>
    <w:pPr>
      <w:spacing w:after="120" w:line="259" w:lineRule="auto"/>
    </w:pPr>
    <w:rPr>
      <w:rFonts w:ascii="Calibri" w:hAnsi="Calibri" w:eastAsia="宋体" w:cs="Times New Roman"/>
      <w:szCs w:val="24"/>
    </w:rPr>
  </w:style>
  <w:style w:type="paragraph" w:styleId="4">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5">
    <w:name w:val="annotation text"/>
    <w:basedOn w:val="1"/>
    <w:link w:val="20"/>
    <w:qFormat/>
    <w:uiPriority w:val="0"/>
    <w:pPr>
      <w:spacing w:after="160" w:line="259" w:lineRule="auto"/>
      <w:jc w:val="left"/>
    </w:pPr>
    <w:rPr>
      <w:rFonts w:ascii="Calibri" w:hAnsi="Calibri" w:eastAsia="宋体" w:cs="Times New Roman"/>
      <w:szCs w:val="24"/>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0000FF"/>
      <w:u w:val="single"/>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标题 5（有编号）（绿盟科技）"/>
    <w:basedOn w:val="1"/>
    <w:next w:val="14"/>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5">
    <w:name w:val="页眉 Char"/>
    <w:basedOn w:val="9"/>
    <w:link w:val="7"/>
    <w:qFormat/>
    <w:uiPriority w:val="99"/>
    <w:rPr>
      <w:sz w:val="18"/>
      <w:szCs w:val="18"/>
    </w:rPr>
  </w:style>
  <w:style w:type="character" w:customStyle="1" w:styleId="16">
    <w:name w:val="页脚 Char"/>
    <w:basedOn w:val="9"/>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 Char"/>
    <w:basedOn w:val="9"/>
    <w:link w:val="2"/>
    <w:qFormat/>
    <w:uiPriority w:val="99"/>
    <w:rPr>
      <w:rFonts w:ascii="Calibri" w:hAnsi="Calibri" w:eastAsia="宋体" w:cs="Times New Roman"/>
      <w:szCs w:val="24"/>
    </w:rPr>
  </w:style>
  <w:style w:type="character" w:customStyle="1" w:styleId="19">
    <w:name w:val="标题 2 Char"/>
    <w:basedOn w:val="9"/>
    <w:link w:val="3"/>
    <w:qFormat/>
    <w:uiPriority w:val="0"/>
    <w:rPr>
      <w:rFonts w:ascii="Arial" w:hAnsi="Arial" w:eastAsia="黑体" w:cs="Times New Roman"/>
      <w:b/>
      <w:bCs/>
      <w:sz w:val="32"/>
      <w:szCs w:val="32"/>
    </w:rPr>
  </w:style>
  <w:style w:type="character" w:customStyle="1" w:styleId="20">
    <w:name w:val="批注文字 Char"/>
    <w:basedOn w:val="9"/>
    <w:link w:val="5"/>
    <w:qFormat/>
    <w:uiPriority w:val="0"/>
    <w:rPr>
      <w:rFonts w:ascii="Calibri" w:hAnsi="Calibri" w:eastAsia="宋体" w:cs="Times New Roman"/>
      <w:szCs w:val="24"/>
    </w:rPr>
  </w:style>
  <w:style w:type="character" w:customStyle="1" w:styleId="21">
    <w:name w:val="font41"/>
    <w:basedOn w:val="9"/>
    <w:qFormat/>
    <w:uiPriority w:val="0"/>
    <w:rPr>
      <w:rFonts w:hint="eastAsia" w:ascii="宋体" w:hAnsi="宋体" w:eastAsia="宋体" w:cs="宋体"/>
      <w:color w:val="000000"/>
      <w:sz w:val="20"/>
      <w:szCs w:val="20"/>
      <w:u w:val="none"/>
    </w:rPr>
  </w:style>
  <w:style w:type="character" w:customStyle="1" w:styleId="22">
    <w:name w:val="font21"/>
    <w:basedOn w:val="9"/>
    <w:qFormat/>
    <w:uiPriority w:val="0"/>
    <w:rPr>
      <w:rFonts w:hint="eastAsia" w:ascii="宋体" w:hAnsi="宋体" w:eastAsia="宋体" w:cs="宋体"/>
      <w:color w:val="000000"/>
      <w:sz w:val="22"/>
      <w:szCs w:val="22"/>
      <w:u w:val="none"/>
    </w:rPr>
  </w:style>
  <w:style w:type="paragraph" w:customStyle="1" w:styleId="23">
    <w:name w:val="正文首行缩进两字符"/>
    <w:basedOn w:val="1"/>
    <w:qFormat/>
    <w:uiPriority w:val="0"/>
    <w:pPr>
      <w:ind w:firstLine="200"/>
    </w:pPr>
  </w:style>
  <w:style w:type="character" w:customStyle="1" w:styleId="24">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46</Pages>
  <Words>4922</Words>
  <Characters>28057</Characters>
  <Lines>233</Lines>
  <Paragraphs>65</Paragraphs>
  <TotalTime>7</TotalTime>
  <ScaleCrop>false</ScaleCrop>
  <LinksUpToDate>false</LinksUpToDate>
  <CharactersWithSpaces>32914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2021-09-28T08:20:00Z</dcterms:created>
  <dc:creator>a</dc:creator>
  <cp:lastModifiedBy>陈胜科</cp:lastModifiedBy>
  <dcterms:modified xsi:type="dcterms:W3CDTF">2022-06-07T10:25:42Z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