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outlineLvl w:val="0"/>
        <w:rPr>
          <w:rFonts w:hint="eastAsia" w:ascii="宋体" w:hAnsi="宋体" w:eastAsia="宋体" w:cs="宋体"/>
          <w:b/>
          <w:color w:val="000000" w:themeColor="text1"/>
          <w:sz w:val="28"/>
          <w:szCs w:val="21"/>
        </w:rPr>
      </w:pPr>
      <w:r>
        <w:rPr>
          <w:rFonts w:hint="eastAsia" w:ascii="宋体" w:hAnsi="宋体" w:eastAsia="宋体" w:cs="宋体"/>
          <w:b/>
          <w:color w:val="000000" w:themeColor="text1"/>
          <w:sz w:val="28"/>
          <w:szCs w:val="21"/>
        </w:rPr>
        <w:t>附件1：</w:t>
      </w:r>
    </w:p>
    <w:p>
      <w:pPr>
        <w:pStyle w:val="14"/>
        <w:numPr>
          <w:ilvl w:val="0"/>
          <w:numId w:val="1"/>
        </w:numPr>
        <w:adjustRightInd w:val="0"/>
        <w:snapToGrid w:val="0"/>
        <w:spacing w:before="156" w:beforeLines="50" w:after="156" w:afterLines="50" w:line="360" w:lineRule="auto"/>
        <w:ind w:left="0" w:firstLine="0" w:firstLineChars="0"/>
        <w:outlineLvl w:val="0"/>
        <w:rPr>
          <w:rFonts w:hint="eastAsia" w:ascii="宋体" w:hAnsi="宋体" w:eastAsia="宋体" w:cs="宋体"/>
          <w:b/>
          <w:color w:val="000000" w:themeColor="text1"/>
          <w:sz w:val="28"/>
          <w:szCs w:val="21"/>
        </w:rPr>
      </w:pPr>
      <w:r>
        <w:rPr>
          <w:rFonts w:hint="eastAsia" w:ascii="宋体" w:hAnsi="宋体" w:eastAsia="宋体" w:cs="宋体"/>
          <w:b/>
          <w:color w:val="000000" w:themeColor="text1"/>
          <w:sz w:val="28"/>
          <w:szCs w:val="21"/>
        </w:rPr>
        <w:t>采购货物清单</w:t>
      </w:r>
    </w:p>
    <w:p>
      <w:pPr>
        <w:pStyle w:val="14"/>
        <w:numPr>
          <w:ilvl w:val="0"/>
          <w:numId w:val="2"/>
        </w:numPr>
        <w:adjustRightInd w:val="0"/>
        <w:spacing w:before="156" w:beforeLines="50" w:after="156" w:afterLines="50" w:line="300" w:lineRule="exact"/>
        <w:ind w:left="0" w:leftChars="0"/>
        <w:contextualSpacing/>
        <w:jc w:val="left"/>
        <w:outlineLvl w:val="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项目总预算：101500元</w:t>
      </w:r>
    </w:p>
    <w:p>
      <w:pPr>
        <w:pStyle w:val="14"/>
        <w:numPr>
          <w:ilvl w:val="0"/>
          <w:numId w:val="2"/>
        </w:numPr>
        <w:adjustRightInd w:val="0"/>
        <w:spacing w:before="156" w:beforeLines="50" w:after="156" w:afterLines="50" w:line="300" w:lineRule="exact"/>
        <w:ind w:left="0" w:leftChars="0"/>
        <w:contextualSpacing/>
        <w:jc w:val="left"/>
        <w:outlineLvl w:val="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货物清单</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969"/>
        <w:gridCol w:w="1417"/>
        <w:gridCol w:w="155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widowControl/>
              <w:adjustRightInd w:val="0"/>
              <w:snapToGrid w:val="0"/>
              <w:spacing w:line="360" w:lineRule="auto"/>
              <w:jc w:val="center"/>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序号</w:t>
            </w:r>
          </w:p>
        </w:tc>
        <w:tc>
          <w:tcPr>
            <w:tcW w:w="3969" w:type="dxa"/>
            <w:vAlign w:val="center"/>
          </w:tcPr>
          <w:p>
            <w:pPr>
              <w:widowControl/>
              <w:adjustRightInd w:val="0"/>
              <w:snapToGrid w:val="0"/>
              <w:spacing w:line="360" w:lineRule="auto"/>
              <w:jc w:val="center"/>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货物名称</w:t>
            </w:r>
          </w:p>
        </w:tc>
        <w:tc>
          <w:tcPr>
            <w:tcW w:w="1417" w:type="dxa"/>
            <w:vAlign w:val="center"/>
          </w:tcPr>
          <w:p>
            <w:pPr>
              <w:widowControl/>
              <w:adjustRightInd w:val="0"/>
              <w:snapToGrid w:val="0"/>
              <w:spacing w:line="360" w:lineRule="auto"/>
              <w:jc w:val="center"/>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单位</w:t>
            </w:r>
          </w:p>
        </w:tc>
        <w:tc>
          <w:tcPr>
            <w:tcW w:w="1559" w:type="dxa"/>
            <w:vAlign w:val="center"/>
          </w:tcPr>
          <w:p>
            <w:pPr>
              <w:widowControl/>
              <w:adjustRightInd w:val="0"/>
              <w:snapToGrid w:val="0"/>
              <w:spacing w:line="360" w:lineRule="auto"/>
              <w:jc w:val="center"/>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数量</w:t>
            </w:r>
          </w:p>
        </w:tc>
        <w:tc>
          <w:tcPr>
            <w:tcW w:w="1582" w:type="dxa"/>
            <w:vAlign w:val="center"/>
          </w:tcPr>
          <w:p>
            <w:pPr>
              <w:widowControl/>
              <w:adjustRightInd w:val="0"/>
              <w:snapToGrid w:val="0"/>
              <w:spacing w:line="360" w:lineRule="auto"/>
              <w:jc w:val="center"/>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4"/>
              <w:widowControl/>
              <w:numPr>
                <w:ilvl w:val="0"/>
                <w:numId w:val="3"/>
              </w:numPr>
              <w:adjustRightInd w:val="0"/>
              <w:snapToGrid w:val="0"/>
              <w:spacing w:line="360" w:lineRule="auto"/>
              <w:ind w:firstLineChars="0"/>
              <w:jc w:val="center"/>
              <w:rPr>
                <w:rFonts w:hint="eastAsia" w:ascii="宋体" w:hAnsi="宋体" w:eastAsia="宋体" w:cs="宋体"/>
                <w:color w:val="000000" w:themeColor="text1"/>
                <w:sz w:val="21"/>
                <w:szCs w:val="21"/>
              </w:rPr>
            </w:pPr>
          </w:p>
        </w:tc>
        <w:tc>
          <w:tcPr>
            <w:tcW w:w="3969" w:type="dxa"/>
            <w:vAlign w:val="center"/>
          </w:tcPr>
          <w:p>
            <w:pPr>
              <w:widowControl/>
              <w:adjustRightInd w:val="0"/>
              <w:snapToGrid w:val="0"/>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条码打印机</w:t>
            </w:r>
          </w:p>
        </w:tc>
        <w:tc>
          <w:tcPr>
            <w:tcW w:w="1417" w:type="dxa"/>
            <w:vAlign w:val="center"/>
          </w:tcPr>
          <w:p>
            <w:pPr>
              <w:widowControl/>
              <w:adjustRightInd w:val="0"/>
              <w:snapToGrid w:val="0"/>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台</w:t>
            </w:r>
          </w:p>
        </w:tc>
        <w:tc>
          <w:tcPr>
            <w:tcW w:w="1559" w:type="dxa"/>
            <w:vAlign w:val="center"/>
          </w:tcPr>
          <w:p>
            <w:pPr>
              <w:widowControl/>
              <w:adjustRightInd w:val="0"/>
              <w:snapToGrid w:val="0"/>
              <w:spacing w:line="360" w:lineRule="auto"/>
              <w:jc w:val="cente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40</w:t>
            </w:r>
          </w:p>
        </w:tc>
        <w:tc>
          <w:tcPr>
            <w:tcW w:w="1582" w:type="dxa"/>
            <w:vAlign w:val="center"/>
          </w:tcPr>
          <w:p>
            <w:pPr>
              <w:widowControl/>
              <w:adjustRightInd w:val="0"/>
              <w:snapToGrid w:val="0"/>
              <w:spacing w:line="360" w:lineRule="auto"/>
              <w:jc w:val="center"/>
              <w:rPr>
                <w:rFonts w:hint="eastAsia" w:ascii="宋体" w:hAnsi="宋体" w:eastAsia="宋体" w:cs="宋体"/>
                <w:color w:val="000000" w:themeColor="text1"/>
                <w:sz w:val="21"/>
                <w:szCs w:val="21"/>
                <w:lang w:val="en-US"/>
              </w:rPr>
            </w:pPr>
          </w:p>
        </w:tc>
      </w:tr>
    </w:tbl>
    <w:p>
      <w:pPr>
        <w:pStyle w:val="14"/>
        <w:adjustRightInd w:val="0"/>
        <w:snapToGrid w:val="0"/>
        <w:spacing w:before="156" w:beforeLines="50" w:after="156" w:afterLines="50" w:line="360" w:lineRule="auto"/>
        <w:ind w:firstLine="0" w:firstLineChars="0"/>
        <w:jc w:val="center"/>
        <w:outlineLvl w:val="0"/>
        <w:rPr>
          <w:rFonts w:hint="eastAsia" w:ascii="宋体" w:hAnsi="宋体" w:eastAsia="宋体" w:cs="宋体"/>
          <w:b/>
          <w:i/>
          <w:sz w:val="28"/>
        </w:rPr>
      </w:pPr>
    </w:p>
    <w:p>
      <w:pPr>
        <w:pStyle w:val="14"/>
        <w:numPr>
          <w:ilvl w:val="0"/>
          <w:numId w:val="1"/>
        </w:numPr>
        <w:adjustRightInd w:val="0"/>
        <w:snapToGrid w:val="0"/>
        <w:spacing w:before="156" w:beforeLines="50" w:after="156" w:afterLines="50" w:line="360" w:lineRule="auto"/>
        <w:ind w:left="0" w:firstLine="0" w:firstLineChars="0"/>
        <w:outlineLvl w:val="0"/>
        <w:rPr>
          <w:rFonts w:hint="eastAsia" w:ascii="宋体" w:hAnsi="宋体" w:eastAsia="宋体" w:cs="宋体"/>
          <w:b/>
          <w:sz w:val="28"/>
        </w:rPr>
      </w:pPr>
      <w:r>
        <w:rPr>
          <w:rFonts w:hint="eastAsia" w:ascii="宋体" w:hAnsi="宋体" w:eastAsia="宋体" w:cs="宋体"/>
          <w:b/>
          <w:sz w:val="28"/>
        </w:rPr>
        <w:t>技术参数</w:t>
      </w:r>
    </w:p>
    <w:tbl>
      <w:tblPr>
        <w:tblStyle w:val="9"/>
        <w:tblW w:w="95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vAlign w:val="center"/>
          </w:tcPr>
          <w:p>
            <w:pPr>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技术参数要求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★1.打印方式:热敏及热转印打印机；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ind w:right="-20"/>
              <w:jc w:val="left"/>
              <w:rPr>
                <w:rFonts w:hint="eastAsia" w:ascii="宋体" w:hAnsi="宋体" w:eastAsia="宋体" w:cs="宋体"/>
                <w:sz w:val="21"/>
                <w:szCs w:val="21"/>
              </w:rPr>
            </w:pPr>
            <w:r>
              <w:rPr>
                <w:rFonts w:hint="eastAsia" w:ascii="宋体" w:hAnsi="宋体" w:eastAsia="宋体" w:cs="宋体"/>
                <w:sz w:val="21"/>
                <w:szCs w:val="21"/>
              </w:rPr>
              <w:t>2.打印宽度</w:t>
            </w:r>
            <w:r>
              <w:rPr>
                <w:rFonts w:hint="eastAsia" w:ascii="宋体" w:hAnsi="宋体" w:eastAsia="宋体" w:cs="宋体"/>
                <w:sz w:val="21"/>
                <w:szCs w:val="21"/>
              </w:rPr>
              <w:t>≥108mm；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★3.打印速度:150mm/s；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4.分辨率203DPI*203DPI；</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★5.碳带规格：内径:25.4mm 外径:68mm; 长度:300m 宽度:33~110mm；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★6.纸张规格：纸厚：0.06~0.18mm 纸宽：25~118mm；外径：127mm(5英寸)；内径25.4-76mm（1-3英寸）,内存/缓存：SDRAM:8MB；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★7.自带撕纸刀支持上撕纸和下撕纸；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★8.标配传感器:纸张检测、黑标检测、标签检测、机构检测、碳带检测；选配件：自动切刀、自动剥离器；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9.仿真语言:仿真斑马、内置ZPL、EPL、ESC/POS等多种仿真指令集，即插即用，无需调式；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★10.接口:标配:USB接口（2.0全速）和切刀接口；选配：并口、串口、蓝牙、网口、无线wifi；</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★11.打印头寿命</w:t>
            </w:r>
            <w:r>
              <w:rPr>
                <w:rFonts w:hint="eastAsia" w:ascii="宋体" w:hAnsi="宋体" w:eastAsia="宋体" w:cs="宋体"/>
                <w:sz w:val="21"/>
                <w:szCs w:val="21"/>
              </w:rPr>
              <w:t>≥</w:t>
            </w:r>
            <w:r>
              <w:rPr>
                <w:rFonts w:hint="eastAsia" w:ascii="宋体" w:hAnsi="宋体" w:eastAsia="宋体" w:cs="宋体"/>
                <w:color w:val="000000" w:themeColor="text1"/>
                <w:sz w:val="21"/>
                <w:szCs w:val="21"/>
              </w:rPr>
              <w:t>150KM；</w:t>
            </w:r>
            <w:r>
              <w:rPr>
                <w:rFonts w:hint="eastAsia" w:ascii="宋体" w:hAnsi="宋体" w:eastAsia="宋体" w:cs="宋体"/>
                <w:sz w:val="21"/>
                <w:szCs w:val="21"/>
              </w:rPr>
              <w:t>（按指定热敏纸使用、印字率12.5%计算）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★12.产品兼容东华HIS系统（提供证明）；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 为了保证走纸准确，产品应具有标签精确定位结构（提供证书复印件）；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 为了方便安装、调整碳带，产品应具有碳带双拔轮传动结构（提供证书复印件）；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 投标产品需具有出纸口自适应弹性定位结构，可调整不同挡位满足不同厚度标签打印。（提供证书复印件）；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16.生产厂家在当地设立有直属的服务网点，官方网站能查询。（截图证明）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9"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16.整机保修</w:t>
            </w:r>
            <w:r>
              <w:rPr>
                <w:rFonts w:hint="eastAsia" w:ascii="宋体" w:hAnsi="宋体" w:eastAsia="宋体" w:cs="宋体"/>
                <w:sz w:val="21"/>
                <w:szCs w:val="21"/>
              </w:rPr>
              <w:t>≥</w:t>
            </w:r>
            <w:r>
              <w:rPr>
                <w:rFonts w:hint="eastAsia" w:ascii="宋体" w:hAnsi="宋体" w:eastAsia="宋体" w:cs="宋体"/>
                <w:color w:val="000000" w:themeColor="text1"/>
                <w:sz w:val="21"/>
                <w:szCs w:val="21"/>
              </w:rPr>
              <w:t>三年。</w:t>
            </w:r>
          </w:p>
        </w:tc>
      </w:tr>
    </w:tbl>
    <w:p>
      <w:pPr>
        <w:snapToGrid w:val="0"/>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color w:val="000000" w:themeColor="text1"/>
          <w:sz w:val="21"/>
          <w:szCs w:val="21"/>
        </w:rPr>
        <w:t>★</w:t>
      </w:r>
      <w:r>
        <w:rPr>
          <w:rFonts w:hint="eastAsia" w:ascii="宋体" w:hAnsi="宋体" w:eastAsia="宋体" w:cs="宋体"/>
          <w:b/>
          <w:bCs/>
          <w:sz w:val="28"/>
          <w:szCs w:val="28"/>
        </w:rPr>
        <w:t>商务要求</w:t>
      </w:r>
    </w:p>
    <w:p>
      <w:pPr>
        <w:pStyle w:val="4"/>
        <w:ind w:firstLine="422" w:firstLineChars="200"/>
        <w:contextualSpacing/>
        <w:rPr>
          <w:rFonts w:hint="eastAsia" w:ascii="宋体" w:hAnsi="宋体" w:eastAsia="宋体" w:cs="宋体"/>
          <w:bCs w:val="0"/>
          <w:sz w:val="21"/>
          <w:szCs w:val="21"/>
        </w:rPr>
      </w:pPr>
      <w:r>
        <w:rPr>
          <w:rFonts w:hint="eastAsia" w:ascii="宋体" w:hAnsi="宋体" w:eastAsia="宋体" w:cs="宋体"/>
          <w:bCs w:val="0"/>
          <w:sz w:val="21"/>
          <w:szCs w:val="21"/>
        </w:rPr>
        <w:t>1．安装及交货</w:t>
      </w:r>
    </w:p>
    <w:p>
      <w:pPr>
        <w:pStyle w:val="4"/>
        <w:ind w:firstLine="420" w:firstLineChars="200"/>
        <w:contextualSpacing/>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中标方根据招标方通知的交货时间节点分院区分批次发货并免费安装，安装及交货地点： 四川省妇幼保健院</w:t>
      </w:r>
      <w:r>
        <w:rPr>
          <w:rFonts w:hint="eastAsia" w:ascii="宋体" w:hAnsi="宋体" w:eastAsia="宋体" w:cs="宋体"/>
          <w:b w:val="0"/>
          <w:bCs w:val="0"/>
          <w:kern w:val="2"/>
          <w:sz w:val="21"/>
          <w:szCs w:val="21"/>
          <w:lang w:val="en-US" w:eastAsia="zh-CN" w:bidi="ar-SA"/>
        </w:rPr>
        <w:t>。本部院区地址：成都市武侯区沙堰西二街290号。天府院区地址：成都市双流区岐黄二路1515号。</w:t>
      </w:r>
    </w:p>
    <w:p>
      <w:pPr>
        <w:pStyle w:val="4"/>
        <w:ind w:firstLine="422" w:firstLineChars="200"/>
        <w:contextualSpacing/>
        <w:rPr>
          <w:rFonts w:hint="eastAsia" w:ascii="宋体" w:hAnsi="宋体" w:eastAsia="宋体" w:cs="宋体"/>
          <w:b w:val="0"/>
          <w:bCs w:val="0"/>
          <w:sz w:val="21"/>
          <w:szCs w:val="21"/>
        </w:rPr>
      </w:pPr>
      <w:r>
        <w:rPr>
          <w:rFonts w:hint="eastAsia" w:ascii="宋体" w:hAnsi="宋体" w:eastAsia="宋体" w:cs="宋体"/>
          <w:bCs w:val="0"/>
          <w:sz w:val="21"/>
          <w:szCs w:val="21"/>
        </w:rPr>
        <w:t>2．付款方法和条件：</w:t>
      </w:r>
      <w:r>
        <w:rPr>
          <w:rFonts w:hint="eastAsia" w:ascii="宋体" w:hAnsi="宋体" w:eastAsia="宋体" w:cs="宋体"/>
          <w:b w:val="0"/>
          <w:bCs w:val="0"/>
          <w:sz w:val="21"/>
          <w:szCs w:val="21"/>
        </w:rPr>
        <w:t xml:space="preserve"> </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（1）合同签订后，</w:t>
      </w:r>
      <w:r>
        <w:rPr>
          <w:rFonts w:hint="eastAsia" w:ascii="宋体" w:hAnsi="宋体" w:cs="宋体"/>
          <w:sz w:val="21"/>
          <w:szCs w:val="21"/>
          <w:lang w:val="en-US" w:eastAsia="zh-CN"/>
        </w:rPr>
        <w:t>30</w:t>
      </w:r>
      <w:r>
        <w:rPr>
          <w:rFonts w:hint="eastAsia" w:ascii="宋体" w:hAnsi="宋体" w:eastAsia="宋体" w:cs="宋体"/>
          <w:sz w:val="21"/>
          <w:szCs w:val="21"/>
        </w:rPr>
        <w:t>个工作日内支付总金额的30%作为预付款；</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（2）验收完成并合格后，在</w:t>
      </w:r>
      <w:r>
        <w:rPr>
          <w:rFonts w:hint="eastAsia" w:ascii="宋体" w:hAnsi="宋体" w:cs="宋体"/>
          <w:sz w:val="21"/>
          <w:szCs w:val="21"/>
          <w:lang w:val="en-US" w:eastAsia="zh-CN"/>
        </w:rPr>
        <w:t>30</w:t>
      </w:r>
      <w:r>
        <w:rPr>
          <w:rFonts w:hint="eastAsia" w:ascii="宋体" w:hAnsi="宋体" w:eastAsia="宋体" w:cs="宋体"/>
          <w:sz w:val="21"/>
          <w:szCs w:val="21"/>
        </w:rPr>
        <w:t>个工作日内，支付总金额的60%；</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（3）验收期满1年后，</w:t>
      </w:r>
      <w:r>
        <w:rPr>
          <w:rFonts w:hint="eastAsia" w:ascii="宋体" w:hAnsi="宋体" w:cs="宋体"/>
          <w:sz w:val="21"/>
          <w:szCs w:val="21"/>
          <w:lang w:val="en-US" w:eastAsia="zh-CN"/>
        </w:rPr>
        <w:t>30</w:t>
      </w:r>
      <w:r>
        <w:rPr>
          <w:rFonts w:hint="eastAsia" w:ascii="宋体" w:hAnsi="宋体" w:eastAsia="宋体" w:cs="宋体"/>
          <w:sz w:val="21"/>
          <w:szCs w:val="21"/>
        </w:rPr>
        <w:t>个工作日内支付合同总金额的10%。</w:t>
      </w:r>
    </w:p>
    <w:p>
      <w:pPr>
        <w:pStyle w:val="4"/>
        <w:ind w:firstLine="422" w:firstLineChars="200"/>
        <w:contextualSpacing/>
        <w:rPr>
          <w:rFonts w:hint="eastAsia" w:ascii="宋体" w:hAnsi="宋体" w:eastAsia="宋体" w:cs="宋体"/>
          <w:b w:val="0"/>
          <w:bCs w:val="0"/>
          <w:sz w:val="21"/>
          <w:szCs w:val="21"/>
        </w:rPr>
      </w:pPr>
      <w:r>
        <w:rPr>
          <w:rFonts w:hint="eastAsia" w:ascii="宋体" w:hAnsi="宋体" w:eastAsia="宋体" w:cs="宋体"/>
          <w:bCs w:val="0"/>
          <w:sz w:val="21"/>
          <w:szCs w:val="21"/>
        </w:rPr>
        <w:t>3、验收标准：</w:t>
      </w:r>
    </w:p>
    <w:p>
      <w:pPr>
        <w:spacing w:line="360" w:lineRule="auto"/>
        <w:ind w:firstLine="420" w:firstLineChars="200"/>
        <w:contextualSpacing/>
        <w:rPr>
          <w:rFonts w:hint="eastAsia" w:ascii="宋体" w:hAnsi="宋体" w:eastAsia="宋体" w:cs="宋体"/>
          <w:bCs/>
          <w:sz w:val="21"/>
          <w:szCs w:val="21"/>
        </w:rPr>
      </w:pPr>
      <w:r>
        <w:rPr>
          <w:rFonts w:hint="eastAsia" w:ascii="宋体" w:hAnsi="宋体" w:eastAsia="宋体" w:cs="宋体"/>
          <w:bCs/>
          <w:sz w:val="21"/>
          <w:szCs w:val="21"/>
        </w:rPr>
        <w:t>1）中标人与采购人将严格按照《财政部关于进一步加强政府采购需求和履约验收管理的指导意见》(财库〔2016〕205号)的要求进行验收。</w:t>
      </w:r>
    </w:p>
    <w:p>
      <w:pPr>
        <w:spacing w:after="16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2）以招标文件技术参数及要求和相关行业标准为准。</w:t>
      </w:r>
    </w:p>
    <w:p>
      <w:pPr>
        <w:rPr>
          <w:rFonts w:hint="eastAsia" w:ascii="宋体" w:hAnsi="宋体" w:eastAsia="宋体" w:cs="宋体"/>
          <w:b/>
          <w:bCs/>
          <w:sz w:val="28"/>
          <w:szCs w:val="28"/>
        </w:rPr>
      </w:pPr>
    </w:p>
    <w:p>
      <w:pPr>
        <w:pStyle w:val="14"/>
        <w:pageBreakBefore/>
        <w:numPr>
          <w:ilvl w:val="0"/>
          <w:numId w:val="1"/>
        </w:numPr>
        <w:adjustRightInd w:val="0"/>
        <w:snapToGrid w:val="0"/>
        <w:spacing w:before="156" w:beforeLines="50" w:after="156" w:afterLines="50" w:line="360" w:lineRule="auto"/>
        <w:ind w:left="0" w:firstLine="0" w:firstLineChars="0"/>
        <w:outlineLvl w:val="0"/>
        <w:rPr>
          <w:rFonts w:hint="eastAsia" w:ascii="宋体" w:hAnsi="宋体" w:eastAsia="宋体" w:cs="宋体"/>
          <w:b/>
          <w:sz w:val="28"/>
          <w:szCs w:val="21"/>
        </w:rPr>
      </w:pPr>
      <w:r>
        <w:rPr>
          <w:rFonts w:hint="eastAsia" w:ascii="宋体" w:hAnsi="宋体" w:eastAsia="宋体" w:cs="宋体"/>
          <w:b/>
          <w:sz w:val="28"/>
          <w:szCs w:val="21"/>
        </w:rPr>
        <w:t>评分标准</w:t>
      </w:r>
    </w:p>
    <w:tbl>
      <w:tblPr>
        <w:tblStyle w:val="9"/>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6"/>
        <w:gridCol w:w="709"/>
        <w:gridCol w:w="49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Cs w:val="21"/>
              </w:rPr>
            </w:pPr>
            <w:r>
              <w:rPr>
                <w:rFonts w:hint="eastAsia" w:ascii="宋体" w:hAnsi="宋体" w:eastAsia="宋体" w:cs="宋体"/>
                <w:b/>
                <w:szCs w:val="21"/>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b/>
                <w:szCs w:val="21"/>
              </w:rPr>
            </w:pPr>
            <w:r>
              <w:rPr>
                <w:rFonts w:hint="eastAsia" w:ascii="宋体" w:hAnsi="宋体" w:eastAsia="宋体" w:cs="宋体"/>
                <w:b/>
                <w:szCs w:val="21"/>
              </w:rPr>
              <w:t>评分因素</w:t>
            </w:r>
          </w:p>
          <w:p>
            <w:pPr>
              <w:spacing w:line="360" w:lineRule="auto"/>
              <w:ind w:firstLine="28"/>
              <w:jc w:val="center"/>
              <w:rPr>
                <w:rFonts w:hint="eastAsia" w:ascii="宋体" w:hAnsi="宋体" w:eastAsia="宋体" w:cs="宋体"/>
                <w:b/>
                <w:szCs w:val="21"/>
              </w:rPr>
            </w:pPr>
            <w:r>
              <w:rPr>
                <w:rFonts w:hint="eastAsia" w:ascii="宋体" w:hAnsi="宋体" w:eastAsia="宋体" w:cs="宋体"/>
                <w:b/>
                <w:szCs w:val="21"/>
              </w:rPr>
              <w:t>及权重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b/>
                <w:szCs w:val="21"/>
              </w:rPr>
            </w:pPr>
            <w:r>
              <w:rPr>
                <w:rFonts w:hint="eastAsia" w:ascii="宋体" w:hAnsi="宋体" w:eastAsia="宋体" w:cs="宋体"/>
                <w:b/>
                <w:szCs w:val="21"/>
              </w:rPr>
              <w:t>分值</w:t>
            </w: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b/>
                <w:szCs w:val="21"/>
              </w:rPr>
            </w:pPr>
            <w:r>
              <w:rPr>
                <w:rFonts w:hint="eastAsia" w:ascii="宋体" w:hAnsi="宋体" w:eastAsia="宋体" w:cs="宋体"/>
                <w:b/>
                <w:szCs w:val="21"/>
              </w:rPr>
              <w:t>评分标准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b/>
                <w:szCs w:val="21"/>
              </w:rPr>
            </w:pPr>
            <w:r>
              <w:rPr>
                <w:rFonts w:hint="eastAsia" w:ascii="宋体" w:hAnsi="宋体" w:eastAsia="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1</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报价</w:t>
            </w:r>
          </w:p>
          <w:p>
            <w:pPr>
              <w:spacing w:line="360" w:lineRule="auto"/>
              <w:ind w:firstLine="28"/>
              <w:jc w:val="center"/>
              <w:rPr>
                <w:rFonts w:hint="eastAsia" w:ascii="宋体" w:hAnsi="宋体" w:eastAsia="宋体" w:cs="宋体"/>
                <w:szCs w:val="21"/>
              </w:rPr>
            </w:pPr>
            <w:r>
              <w:rPr>
                <w:rFonts w:hint="eastAsia" w:ascii="宋体" w:hAnsi="宋体" w:eastAsia="宋体" w:cs="宋体"/>
                <w:szCs w:val="21"/>
              </w:rPr>
              <w:t>30</w:t>
            </w:r>
            <w:r>
              <w:rPr>
                <w:rFonts w:hint="eastAsia" w:ascii="宋体" w:hAnsi="宋体" w:eastAsia="宋体" w:cs="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30</w:t>
            </w:r>
            <w:r>
              <w:rPr>
                <w:rFonts w:hint="eastAsia" w:ascii="宋体" w:hAnsi="宋体" w:eastAsia="宋体" w:cs="宋体"/>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满足招标文件要求且投标价格最低的投标报价为评标基准价，其服务提供商的报价分为最高分</w:t>
            </w:r>
            <w:r>
              <w:rPr>
                <w:rFonts w:hint="eastAsia" w:ascii="宋体" w:hAnsi="宋体" w:eastAsia="宋体" w:cs="宋体"/>
                <w:szCs w:val="21"/>
              </w:rPr>
              <w:t>30</w:t>
            </w:r>
            <w:r>
              <w:rPr>
                <w:rFonts w:hint="eastAsia" w:ascii="宋体" w:hAnsi="宋体" w:eastAsia="宋体" w:cs="宋体"/>
                <w:szCs w:val="21"/>
              </w:rPr>
              <w:t>分。其他服务提供商的报价分按以下公式计算：报价得分=(评标基准价／投标报价)×0.</w:t>
            </w:r>
            <w:r>
              <w:rPr>
                <w:rFonts w:hint="eastAsia" w:ascii="宋体" w:hAnsi="宋体" w:eastAsia="宋体" w:cs="宋体"/>
                <w:szCs w:val="21"/>
              </w:rPr>
              <w:t>30</w:t>
            </w:r>
            <w:r>
              <w:rPr>
                <w:rFonts w:hint="eastAsia" w:ascii="宋体" w:hAnsi="宋体" w:eastAsia="宋体" w:cs="宋体"/>
                <w:szCs w:val="21"/>
              </w:rPr>
              <w:t>×100。</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共同评分</w:t>
            </w:r>
          </w:p>
          <w:p>
            <w:pPr>
              <w:spacing w:line="360" w:lineRule="auto"/>
              <w:jc w:val="center"/>
              <w:rPr>
                <w:rFonts w:hint="eastAsia" w:ascii="宋体" w:hAnsi="宋体" w:eastAsia="宋体" w:cs="宋体"/>
                <w:szCs w:val="21"/>
              </w:rPr>
            </w:pPr>
            <w:r>
              <w:rPr>
                <w:rFonts w:hint="eastAsia" w:ascii="宋体" w:hAnsi="宋体" w:eastAsia="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2</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szCs w:val="21"/>
              </w:rPr>
            </w:pPr>
            <w:r>
              <w:rPr>
                <w:rFonts w:hint="eastAsia" w:ascii="宋体" w:hAnsi="宋体" w:eastAsia="宋体" w:cs="宋体"/>
                <w:szCs w:val="21"/>
              </w:rPr>
              <w:t>技术参数要求</w:t>
            </w:r>
            <w:r>
              <w:rPr>
                <w:rFonts w:hint="eastAsia" w:ascii="宋体" w:hAnsi="宋体" w:eastAsia="宋体" w:cs="宋体"/>
                <w:szCs w:val="21"/>
              </w:rPr>
              <w:t>45%</w:t>
            </w:r>
          </w:p>
          <w:p>
            <w:pPr>
              <w:spacing w:line="360" w:lineRule="auto"/>
              <w:ind w:firstLine="28"/>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45</w:t>
            </w:r>
            <w:r>
              <w:rPr>
                <w:rFonts w:hint="eastAsia" w:ascii="宋体" w:hAnsi="宋体" w:eastAsia="宋体" w:cs="宋体"/>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1.投标人须按技术参数要求中的编号逐条应答，全部满足各项技术参数指标及要求的得</w:t>
            </w:r>
            <w:r>
              <w:rPr>
                <w:rFonts w:hint="eastAsia" w:ascii="宋体" w:hAnsi="宋体" w:eastAsia="宋体" w:cs="宋体"/>
                <w:szCs w:val="21"/>
              </w:rPr>
              <w:t>45</w:t>
            </w:r>
            <w:r>
              <w:rPr>
                <w:rFonts w:hint="eastAsia" w:ascii="宋体" w:hAnsi="宋体" w:eastAsia="宋体" w:cs="宋体"/>
                <w:szCs w:val="21"/>
              </w:rPr>
              <w:t>分；</w:t>
            </w:r>
          </w:p>
          <w:p>
            <w:pPr>
              <w:spacing w:line="400" w:lineRule="exact"/>
              <w:jc w:val="left"/>
              <w:rPr>
                <w:rFonts w:hint="eastAsia" w:ascii="宋体" w:hAnsi="宋体" w:eastAsia="宋体" w:cs="宋体"/>
                <w:szCs w:val="21"/>
              </w:rPr>
            </w:pPr>
            <w:r>
              <w:rPr>
                <w:rFonts w:hint="eastAsia" w:ascii="宋体" w:hAnsi="宋体" w:eastAsia="宋体" w:cs="宋体"/>
                <w:szCs w:val="21"/>
              </w:rPr>
              <w:t>2.一般参数每负偏离一项扣2分，带“★”的为重要参数，每负偏离一项扣5分，扣完为止；</w:t>
            </w:r>
          </w:p>
          <w:p>
            <w:pPr>
              <w:spacing w:line="400" w:lineRule="exact"/>
              <w:jc w:val="left"/>
              <w:rPr>
                <w:rFonts w:hint="eastAsia" w:ascii="宋体" w:hAnsi="宋体" w:eastAsia="宋体" w:cs="宋体"/>
                <w:szCs w:val="21"/>
              </w:rPr>
            </w:pPr>
            <w:r>
              <w:rPr>
                <w:rFonts w:hint="eastAsia" w:ascii="宋体" w:hAnsi="宋体" w:eastAsia="宋体" w:cs="宋体"/>
                <w:szCs w:val="21"/>
              </w:rPr>
              <w:t>招标文件要求提供技术证明文件的投标人必须如实响应并提供符合要求的证明文件，不能提供符合要求的证明文件的视为负偏离，作相应扣分处理。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共同评分</w:t>
            </w:r>
          </w:p>
          <w:p>
            <w:pPr>
              <w:spacing w:line="360" w:lineRule="auto"/>
              <w:ind w:left="-38"/>
              <w:jc w:val="center"/>
              <w:rPr>
                <w:rFonts w:hint="eastAsia" w:ascii="宋体" w:hAnsi="宋体" w:eastAsia="宋体" w:cs="宋体"/>
                <w:szCs w:val="21"/>
              </w:rPr>
            </w:pPr>
            <w:r>
              <w:rPr>
                <w:rFonts w:hint="eastAsia" w:ascii="宋体" w:hAnsi="宋体" w:eastAsia="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3</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szCs w:val="21"/>
              </w:rPr>
            </w:pPr>
            <w:r>
              <w:rPr>
                <w:rFonts w:hint="eastAsia" w:ascii="宋体" w:hAnsi="宋体" w:eastAsia="宋体" w:cs="宋体"/>
                <w:szCs w:val="21"/>
              </w:rPr>
              <w:t>业绩6</w:t>
            </w:r>
            <w:r>
              <w:rPr>
                <w:rFonts w:hint="eastAsia" w:ascii="宋体" w:hAnsi="宋体" w:eastAsia="宋体" w:cs="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u w:val="single"/>
              </w:rPr>
            </w:pPr>
            <w:r>
              <w:rPr>
                <w:rFonts w:hint="eastAsia" w:ascii="宋体" w:hAnsi="宋体" w:eastAsia="宋体" w:cs="宋体"/>
                <w:szCs w:val="21"/>
              </w:rPr>
              <w:t>6分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szCs w:val="21"/>
                <w:highlight w:val="yellow"/>
              </w:rPr>
            </w:pPr>
            <w:r>
              <w:rPr>
                <w:rFonts w:hint="eastAsia" w:ascii="宋体" w:hAnsi="宋体" w:eastAsia="宋体" w:cs="宋体"/>
                <w:szCs w:val="21"/>
              </w:rPr>
              <w:t>提供投标产品近三年医院销售业绩（≥100台）合同复印件或中标通知书, 每有</w:t>
            </w:r>
            <w:r>
              <w:rPr>
                <w:rFonts w:hint="eastAsia" w:ascii="宋体" w:hAnsi="宋体" w:eastAsia="宋体" w:cs="宋体"/>
                <w:szCs w:val="21"/>
              </w:rPr>
              <w:t>1</w:t>
            </w:r>
            <w:r>
              <w:rPr>
                <w:rFonts w:hint="eastAsia" w:ascii="宋体" w:hAnsi="宋体" w:eastAsia="宋体" w:cs="宋体"/>
                <w:szCs w:val="21"/>
              </w:rPr>
              <w:t>个业绩得2分, 最多得6分；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共同评分</w:t>
            </w:r>
          </w:p>
          <w:p>
            <w:pPr>
              <w:spacing w:line="360" w:lineRule="auto"/>
              <w:ind w:left="-38"/>
              <w:jc w:val="center"/>
              <w:rPr>
                <w:rFonts w:hint="eastAsia" w:ascii="宋体" w:hAnsi="宋体" w:eastAsia="宋体" w:cs="宋体"/>
                <w:szCs w:val="21"/>
              </w:rPr>
            </w:pPr>
            <w:r>
              <w:rPr>
                <w:rFonts w:hint="eastAsia" w:ascii="宋体" w:hAnsi="宋体" w:eastAsia="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4</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szCs w:val="21"/>
              </w:rPr>
            </w:pPr>
            <w:r>
              <w:rPr>
                <w:rFonts w:hint="eastAsia" w:ascii="宋体" w:hAnsi="宋体" w:eastAsia="宋体" w:cs="宋体"/>
                <w:szCs w:val="21"/>
              </w:rPr>
              <w:t>售后服务方案10</w:t>
            </w:r>
            <w:r>
              <w:rPr>
                <w:rFonts w:hint="eastAsia" w:ascii="宋体" w:hAnsi="宋体" w:eastAsia="宋体" w:cs="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10分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1.投标人具有完善的售后服务体系，在成都市内设立有本地化的售后服务机构（提供证明文件），得4分，未提供不得分；</w:t>
            </w:r>
          </w:p>
          <w:p>
            <w:pPr>
              <w:spacing w:line="400" w:lineRule="exact"/>
              <w:jc w:val="left"/>
              <w:rPr>
                <w:rFonts w:hint="eastAsia" w:ascii="宋体" w:hAnsi="宋体" w:eastAsia="宋体" w:cs="宋体"/>
                <w:szCs w:val="21"/>
              </w:rPr>
            </w:pPr>
            <w:r>
              <w:rPr>
                <w:rFonts w:hint="eastAsia" w:ascii="宋体" w:hAnsi="宋体" w:eastAsia="宋体" w:cs="宋体"/>
                <w:szCs w:val="21"/>
              </w:rPr>
              <w:t>2.服务响应：4小时内响应并到达现场服务，得3分，12小时内响应并到达现场服务，得1分，无法满足响应，不得分。（共3分）</w:t>
            </w:r>
          </w:p>
          <w:p>
            <w:pPr>
              <w:spacing w:line="400" w:lineRule="exact"/>
              <w:jc w:val="left"/>
              <w:rPr>
                <w:rFonts w:hint="eastAsia" w:ascii="宋体" w:hAnsi="宋体" w:eastAsia="宋体" w:cs="宋体"/>
                <w:szCs w:val="21"/>
              </w:rPr>
            </w:pPr>
            <w:r>
              <w:rPr>
                <w:rFonts w:hint="eastAsia" w:ascii="宋体" w:hAnsi="宋体" w:eastAsia="宋体" w:cs="宋体"/>
                <w:szCs w:val="21"/>
              </w:rPr>
              <w:t>3.服务方案：有详细的服务方案切实可行的得3分，基本完善合理的得2分，其他情况1分.（共3分）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共同评分</w:t>
            </w:r>
          </w:p>
          <w:p>
            <w:pPr>
              <w:spacing w:line="360" w:lineRule="auto"/>
              <w:ind w:left="-38"/>
              <w:jc w:val="center"/>
              <w:rPr>
                <w:rFonts w:hint="eastAsia" w:ascii="宋体" w:hAnsi="宋体" w:eastAsia="宋体" w:cs="宋体"/>
                <w:szCs w:val="21"/>
              </w:rPr>
            </w:pPr>
            <w:r>
              <w:rPr>
                <w:rFonts w:hint="eastAsia" w:ascii="宋体" w:hAnsi="宋体" w:eastAsia="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eastAsia="宋体" w:cs="宋体"/>
                <w:szCs w:val="21"/>
              </w:rPr>
              <w:t>5</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szCs w:val="21"/>
              </w:rPr>
            </w:pPr>
            <w:r>
              <w:rPr>
                <w:rFonts w:hint="eastAsia" w:ascii="宋体" w:hAnsi="宋体" w:eastAsia="宋体" w:cs="宋体"/>
                <w:szCs w:val="21"/>
              </w:rPr>
              <w:t>培训方案</w:t>
            </w:r>
            <w:r>
              <w:rPr>
                <w:rFonts w:hint="eastAsia" w:ascii="宋体" w:hAnsi="宋体" w:cs="宋体"/>
                <w:szCs w:val="21"/>
                <w:lang w:val="en-US" w:eastAsia="zh-CN"/>
              </w:rPr>
              <w:t>9</w:t>
            </w:r>
            <w:r>
              <w:rPr>
                <w:rFonts w:hint="eastAsia" w:ascii="宋体" w:hAnsi="宋体" w:eastAsia="宋体" w:cs="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宋体" w:eastAsia="宋体" w:cs="宋体"/>
                <w:szCs w:val="21"/>
              </w:rPr>
            </w:pPr>
            <w:r>
              <w:rPr>
                <w:rFonts w:hint="eastAsia" w:ascii="宋体" w:hAnsi="宋体" w:cs="宋体"/>
                <w:szCs w:val="21"/>
                <w:lang w:val="en-US" w:eastAsia="zh-CN"/>
              </w:rPr>
              <w:t>9</w:t>
            </w:r>
            <w:r>
              <w:rPr>
                <w:rFonts w:hint="eastAsia" w:ascii="宋体" w:hAnsi="宋体" w:eastAsia="宋体" w:cs="宋体"/>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供应商需有完整、可行的培训方案，明确具体培训内容、方式、时间、对象。培训方案完整、可行，有专业培训队伍的得</w:t>
            </w:r>
            <w:r>
              <w:rPr>
                <w:rFonts w:hint="eastAsia" w:ascii="宋体" w:hAnsi="宋体" w:cs="宋体"/>
                <w:szCs w:val="21"/>
                <w:lang w:val="en-US" w:eastAsia="zh-CN"/>
              </w:rPr>
              <w:t>7~9</w:t>
            </w:r>
            <w:r>
              <w:rPr>
                <w:rFonts w:hint="eastAsia" w:ascii="宋体" w:hAnsi="宋体" w:eastAsia="宋体" w:cs="宋体"/>
                <w:szCs w:val="21"/>
              </w:rPr>
              <w:t xml:space="preserve"> </w:t>
            </w:r>
            <w:r>
              <w:rPr>
                <w:rFonts w:hint="eastAsia" w:ascii="宋体" w:hAnsi="宋体" w:eastAsia="宋体" w:cs="宋体"/>
                <w:szCs w:val="21"/>
              </w:rPr>
              <w:t>分，培训方案较完整、可行，有专业培训队伍的得</w:t>
            </w:r>
            <w:r>
              <w:rPr>
                <w:rFonts w:hint="eastAsia" w:ascii="宋体" w:hAnsi="宋体" w:cs="宋体"/>
                <w:szCs w:val="21"/>
                <w:lang w:val="en-US" w:eastAsia="zh-CN"/>
              </w:rPr>
              <w:t>3~6</w:t>
            </w:r>
            <w:r>
              <w:rPr>
                <w:rFonts w:hint="eastAsia" w:ascii="宋体" w:hAnsi="宋体" w:eastAsia="宋体" w:cs="宋体"/>
                <w:szCs w:val="21"/>
              </w:rPr>
              <w:t>分，其余得</w:t>
            </w:r>
            <w:r>
              <w:rPr>
                <w:rFonts w:hint="eastAsia" w:ascii="宋体" w:hAnsi="宋体" w:cs="宋体"/>
                <w:szCs w:val="21"/>
                <w:lang w:val="en-US" w:eastAsia="zh-CN"/>
              </w:rPr>
              <w:t>0~</w:t>
            </w:r>
            <w:bookmarkStart w:id="3" w:name="_GoBack"/>
            <w:bookmarkEnd w:id="3"/>
            <w:r>
              <w:rPr>
                <w:rFonts w:hint="eastAsia" w:ascii="宋体" w:hAnsi="宋体" w:eastAsia="宋体" w:cs="宋体"/>
                <w:szCs w:val="21"/>
              </w:rPr>
              <w:t>2分。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共同评分</w:t>
            </w:r>
          </w:p>
          <w:p>
            <w:pPr>
              <w:spacing w:line="360" w:lineRule="auto"/>
              <w:ind w:left="-38"/>
              <w:jc w:val="center"/>
              <w:rPr>
                <w:rFonts w:hint="eastAsia" w:ascii="宋体" w:hAnsi="宋体" w:eastAsia="宋体" w:cs="宋体"/>
                <w:szCs w:val="21"/>
              </w:rPr>
            </w:pPr>
            <w:r>
              <w:rPr>
                <w:rFonts w:hint="eastAsia" w:ascii="宋体" w:hAnsi="宋体" w:eastAsia="宋体" w:cs="宋体"/>
                <w:szCs w:val="21"/>
              </w:rPr>
              <w:t>因素</w:t>
            </w:r>
          </w:p>
        </w:tc>
      </w:tr>
    </w:tbl>
    <w:p>
      <w:pPr>
        <w:tabs>
          <w:tab w:val="left" w:pos="360"/>
          <w:tab w:val="left" w:pos="840"/>
        </w:tabs>
        <w:spacing w:line="360" w:lineRule="auto"/>
        <w:rPr>
          <w:rFonts w:hint="eastAsia" w:ascii="宋体" w:hAnsi="宋体" w:eastAsia="宋体" w:cs="宋体"/>
          <w:color w:val="000000" w:themeColor="text1"/>
        </w:rPr>
      </w:pPr>
    </w:p>
    <w:p>
      <w:pPr>
        <w:tabs>
          <w:tab w:val="left" w:pos="360"/>
          <w:tab w:val="left" w:pos="840"/>
        </w:tabs>
        <w:spacing w:line="360" w:lineRule="auto"/>
        <w:rPr>
          <w:rFonts w:hint="eastAsia" w:ascii="宋体" w:hAnsi="宋体" w:eastAsia="宋体" w:cs="宋体"/>
          <w:color w:val="000000" w:themeColor="text1"/>
        </w:rPr>
      </w:pPr>
    </w:p>
    <w:p>
      <w:pPr>
        <w:rPr>
          <w:rFonts w:hint="eastAsia" w:ascii="宋体" w:hAnsi="宋体" w:eastAsia="宋体" w:cs="宋体"/>
        </w:rPr>
      </w:pPr>
      <w:r>
        <w:rPr>
          <w:rFonts w:hint="eastAsia" w:ascii="宋体" w:hAnsi="宋体" w:eastAsia="宋体" w:cs="宋体"/>
        </w:rPr>
        <w:br w:type="page"/>
      </w:r>
    </w:p>
    <w:p>
      <w:pPr>
        <w:adjustRightInd w:val="0"/>
        <w:snapToGrid w:val="0"/>
        <w:spacing w:before="156" w:beforeLines="50" w:after="156" w:afterLines="50" w:line="360" w:lineRule="auto"/>
        <w:outlineLvl w:val="0"/>
        <w:rPr>
          <w:rFonts w:hint="eastAsia" w:ascii="宋体" w:hAnsi="宋体" w:eastAsia="宋体" w:cs="宋体"/>
          <w:bCs/>
          <w:sz w:val="32"/>
          <w:szCs w:val="32"/>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2</w:t>
      </w:r>
      <w:r>
        <w:rPr>
          <w:rFonts w:hint="eastAsia" w:ascii="宋体" w:hAnsi="宋体" w:eastAsia="宋体" w:cs="宋体"/>
          <w:b w:val="0"/>
          <w:bCs/>
          <w:color w:val="000000"/>
          <w:sz w:val="28"/>
          <w:szCs w:val="21"/>
        </w:rPr>
        <w:t>：</w:t>
      </w:r>
    </w:p>
    <w:p>
      <w:pPr>
        <w:spacing w:line="0" w:lineRule="atLeast"/>
        <w:jc w:val="center"/>
        <w:rPr>
          <w:rFonts w:hint="eastAsia" w:ascii="宋体" w:hAnsi="宋体" w:eastAsia="宋体" w:cs="宋体"/>
          <w:b/>
          <w:bCs/>
          <w:sz w:val="32"/>
          <w:szCs w:val="32"/>
        </w:rPr>
      </w:pPr>
      <w:r>
        <w:rPr>
          <w:rFonts w:hint="eastAsia" w:ascii="宋体" w:hAnsi="宋体" w:eastAsia="宋体" w:cs="宋体"/>
          <w:b/>
          <w:bCs/>
          <w:sz w:val="32"/>
          <w:szCs w:val="32"/>
        </w:rPr>
        <w:t>采购文件书装订顺序</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封面（公司、项目、联系人、联系方式）</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目录（</w:t>
      </w:r>
      <w:r>
        <w:rPr>
          <w:rFonts w:hint="eastAsia" w:ascii="宋体" w:hAnsi="宋体" w:eastAsia="宋体" w:cs="宋体"/>
          <w:bCs/>
          <w:color w:val="FF0000"/>
          <w:sz w:val="24"/>
          <w:szCs w:val="24"/>
        </w:rPr>
        <w:t>标记页码</w:t>
      </w:r>
      <w:r>
        <w:rPr>
          <w:rFonts w:hint="eastAsia" w:ascii="宋体" w:hAnsi="宋体" w:eastAsia="宋体" w:cs="宋体"/>
          <w:bCs/>
          <w:sz w:val="24"/>
          <w:szCs w:val="24"/>
        </w:rPr>
        <w:t>）</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品目及报价表（格式见附件3）</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规格型号、配置及偏离表（格式见附件3）</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营业执照、税务登记证、组织机构代码证</w:t>
      </w:r>
      <w:r>
        <w:rPr>
          <w:rFonts w:hint="eastAsia" w:ascii="宋体" w:hAnsi="宋体" w:eastAsia="宋体" w:cs="宋体"/>
          <w:bCs/>
          <w:sz w:val="24"/>
          <w:szCs w:val="24"/>
          <w:lang w:val="en-US" w:eastAsia="zh-CN"/>
        </w:rPr>
        <w:t>或</w:t>
      </w:r>
      <w:r>
        <w:rPr>
          <w:rFonts w:hint="eastAsia" w:ascii="宋体" w:hAnsi="宋体" w:eastAsia="宋体" w:cs="宋体"/>
          <w:bCs/>
          <w:sz w:val="24"/>
          <w:szCs w:val="24"/>
        </w:rPr>
        <w:t>三证合一营业执照（复印件）</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法定代表人授权书（原件，格式见附件3）暨经办人授权书，法人、经办人身份证（复印件）</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生产厂家授权书（投标人不是生产厂家的）</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如有产品质量和企业管理体系认证（考核），请提供的有效证明文件的复印或扫描件，质量管理体系认证包括FDA、CE、ISO等认证（提供中文翻译复印件）</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质量检测中心或法定机构出具的产品检测报告，性能自测报告，出厂检验报告的复印或扫描件</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如有其他证书：产品在技术、节能、安全、环保和自主创新方面获得的认证证书或制造厂家和产品所获国家级荣誉称号等复印或扫描件</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产品执行标准（提供产品注册标准：YZB等资料供评审）</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产品质量及货源保证书</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售后服务承诺书</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反商业贿赂承诺书</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无围标、串标行为承诺书</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如有，提供进口原材料证明书或产品报关资料等</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产品说明书或与投标产品型号一致的产品彩页资料和其他有关介绍资料。业绩证明文件（近三年用户名单及联系人与联系方式及合同复印件或近三个月内送货复印件，格式见附件3）。</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如有物流公司配送，请提供配送证明材料：配送商基本情况、配送商营业执照复印件、配送商经营许可证复印件</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如有，国家规定的其它相关资质证明文件或其它涉及特许经营许可的须提供相关证书。如：卫生许可证、药品经营许可证、生产批件或新药证书等；</w:t>
      </w:r>
    </w:p>
    <w:p>
      <w:pPr>
        <w:numPr>
          <w:ilvl w:val="0"/>
          <w:numId w:val="4"/>
        </w:numPr>
        <w:tabs>
          <w:tab w:val="left" w:pos="0"/>
        </w:tabs>
        <w:spacing w:line="0" w:lineRule="atLeast"/>
        <w:ind w:left="42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封底</w:t>
      </w:r>
    </w:p>
    <w:p>
      <w:pPr>
        <w:spacing w:line="0" w:lineRule="atLeast"/>
        <w:rPr>
          <w:rFonts w:hint="eastAsia" w:ascii="宋体" w:hAnsi="宋体" w:eastAsia="宋体" w:cs="宋体"/>
          <w:b/>
          <w:sz w:val="24"/>
          <w:szCs w:val="24"/>
        </w:rPr>
      </w:pPr>
      <w:r>
        <w:rPr>
          <w:rFonts w:hint="eastAsia" w:ascii="宋体" w:hAnsi="宋体" w:eastAsia="宋体" w:cs="宋体"/>
          <w:b/>
          <w:bCs/>
          <w:sz w:val="24"/>
          <w:szCs w:val="24"/>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报价一览表</w:t>
      </w:r>
    </w:p>
    <w:tbl>
      <w:tblPr>
        <w:tblStyle w:val="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单价（万元）</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金额（万元）</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合计</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9"/>
        <w:tblW w:w="0" w:type="auto"/>
        <w:jc w:val="center"/>
        <w:tblLayout w:type="autofit"/>
        <w:tblCellMar>
          <w:top w:w="0" w:type="dxa"/>
          <w:left w:w="0" w:type="dxa"/>
          <w:bottom w:w="0" w:type="dxa"/>
          <w:right w:w="0" w:type="dxa"/>
        </w:tblCellMar>
      </w:tblPr>
      <w:tblGrid>
        <w:gridCol w:w="1607"/>
        <w:gridCol w:w="1700"/>
        <w:gridCol w:w="1168"/>
        <w:gridCol w:w="1009"/>
        <w:gridCol w:w="1168"/>
        <w:gridCol w:w="1966"/>
        <w:gridCol w:w="101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ind w:firstLine="451" w:firstLineChars="187"/>
        <w:jc w:val="left"/>
        <w:rPr>
          <w:rFonts w:hint="eastAsia" w:ascii="宋体" w:hAnsi="宋体" w:eastAsia="宋体" w:cs="宋体"/>
          <w:b/>
          <w:sz w:val="24"/>
        </w:rPr>
      </w:pPr>
    </w:p>
    <w:p>
      <w:pPr>
        <w:pStyle w:val="4"/>
        <w:tabs>
          <w:tab w:val="left" w:pos="540"/>
        </w:tabs>
        <w:ind w:left="720" w:hanging="720"/>
        <w:jc w:val="center"/>
        <w:rPr>
          <w:rFonts w:hint="eastAsia" w:ascii="宋体" w:hAnsi="宋体" w:eastAsia="宋体" w:cs="宋体"/>
          <w:b w:val="0"/>
          <w:lang w:val="zh-CN"/>
        </w:rPr>
      </w:pPr>
      <w:bookmarkStart w:id="0" w:name="_Toc237343703"/>
      <w:bookmarkStart w:id="1" w:name="_Toc174767233"/>
      <w:bookmarkStart w:id="2" w:name="_Toc9529516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5"/>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sz w:val="24"/>
        </w:rPr>
        <w:br w:type="page"/>
      </w: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sz w:val="32"/>
          <w:szCs w:val="32"/>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 采购物资名称：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b w:val="0"/>
          <w:bCs/>
          <w:color w:val="000000"/>
          <w:sz w:val="28"/>
          <w:szCs w:val="21"/>
          <w:lang w:val="en-US" w:eastAsia="zh-CN"/>
        </w:rPr>
      </w:pPr>
      <w:r>
        <w:rPr>
          <w:rFonts w:hint="eastAsia" w:ascii="宋体" w:hAnsi="宋体" w:eastAsia="宋体" w:cs="宋体"/>
        </w:rPr>
        <w:br w:type="page"/>
      </w: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spacing w:line="360" w:lineRule="auto"/>
        <w:rPr>
          <w:rFonts w:hint="eastAsia" w:ascii="宋体" w:hAnsi="宋体" w:eastAsia="宋体" w:cs="宋体"/>
        </w:rPr>
      </w:pPr>
    </w:p>
    <w:sectPr>
      <w:headerReference r:id="rId3" w:type="first"/>
      <w:footerReference r:id="rId5" w:type="first"/>
      <w:footerReference r:id="rId4" w:type="default"/>
      <w:pgSz w:w="11906" w:h="16838"/>
      <w:pgMar w:top="1247" w:right="1247" w:bottom="1247" w:left="124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微软雅黑" w:hAnsi="微软雅黑" w:eastAsia="微软雅黑"/>
        <w:b/>
      </w:rPr>
      <w:ptab w:relativeTo="margin" w:alignment="center" w:leader="none"/>
    </w:r>
    <w:r>
      <w:rPr>
        <w:rFonts w:ascii="微软雅黑" w:hAnsi="微软雅黑" w:eastAsia="微软雅黑"/>
        <w:b/>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rPr>
        <w:rFonts w:ascii="微软雅黑" w:hAnsi="微软雅黑" w:eastAsia="微软雅黑"/>
        <w:b/>
      </w:rPr>
    </w:pPr>
    <w:r>
      <w:rPr>
        <w:rFonts w:ascii="微软雅黑" w:hAnsi="微软雅黑" w:eastAsia="微软雅黑"/>
        <w:b/>
      </w:rPr>
      <w:ptab w:relativeTo="margin" w:alignment="center" w:leader="none"/>
    </w:r>
    <w:r>
      <w:rPr>
        <w:rFonts w:ascii="微软雅黑" w:hAnsi="微软雅黑" w:eastAsia="微软雅黑"/>
        <w:b/>
      </w:rPr>
      <w:ptab w:relativeTo="margin" w:alignment="right" w:leader="none"/>
    </w:r>
    <w:r>
      <w:rPr>
        <w:rFonts w:ascii="微软雅黑" w:hAnsi="微软雅黑" w:eastAsia="微软雅黑"/>
        <w:b/>
      </w:rPr>
      <w:fldChar w:fldCharType="begin"/>
    </w:r>
    <w:r>
      <w:rPr>
        <w:rFonts w:ascii="微软雅黑" w:hAnsi="微软雅黑" w:eastAsia="微软雅黑"/>
        <w:b/>
      </w:rPr>
      <w:instrText xml:space="preserve">PAGE  \* Arabic  \* MERGEFORMAT</w:instrText>
    </w:r>
    <w:r>
      <w:rPr>
        <w:rFonts w:ascii="微软雅黑" w:hAnsi="微软雅黑" w:eastAsia="微软雅黑"/>
        <w:b/>
      </w:rPr>
      <w:fldChar w:fldCharType="separate"/>
    </w:r>
    <w:r>
      <w:rPr>
        <w:rFonts w:ascii="微软雅黑" w:hAnsi="微软雅黑" w:eastAsia="微软雅黑"/>
        <w:b/>
        <w:lang w:val="zh-CN"/>
      </w:rPr>
      <w:t>1</w:t>
    </w:r>
    <w:r>
      <w:rPr>
        <w:rFonts w:ascii="微软雅黑" w:hAnsi="微软雅黑" w:eastAsia="微软雅黑"/>
        <w:b/>
      </w:rPr>
      <w:fldChar w:fldCharType="end"/>
    </w:r>
    <w:r>
      <w:rPr>
        <w:rFonts w:ascii="微软雅黑" w:hAnsi="微软雅黑" w:eastAsia="微软雅黑"/>
        <w:b/>
        <w:lang w:val="zh-CN"/>
      </w:rPr>
      <w:t xml:space="preserve"> / </w:t>
    </w:r>
    <w:r>
      <w:fldChar w:fldCharType="begin"/>
    </w:r>
    <w:r>
      <w:instrText xml:space="preserve">NUMPAGES  \* Arabic  \* MERGEFORMAT</w:instrText>
    </w:r>
    <w:r>
      <w:fldChar w:fldCharType="separate"/>
    </w:r>
    <w:r>
      <w:rPr>
        <w:rFonts w:ascii="微软雅黑" w:hAnsi="微软雅黑" w:eastAsia="微软雅黑"/>
        <w:b/>
        <w:lang w:val="zh-CN"/>
      </w:rPr>
      <w:t>10</w:t>
    </w:r>
    <w:r>
      <w:rPr>
        <w:rFonts w:ascii="微软雅黑" w:hAnsi="微软雅黑" w:eastAsia="微软雅黑"/>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distribute"/>
      <w:rPr>
        <w:rFonts w:ascii="微软雅黑" w:hAnsi="微软雅黑" w:eastAsia="微软雅黑"/>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3">
    <w:nsid w:val="40D2721A"/>
    <w:multiLevelType w:val="multilevel"/>
    <w:tmpl w:val="40D2721A"/>
    <w:lvl w:ilvl="0" w:tentative="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65F36117"/>
    <w:multiLevelType w:val="multilevel"/>
    <w:tmpl w:val="65F36117"/>
    <w:lvl w:ilvl="0" w:tentative="0">
      <w:start w:val="1"/>
      <w:numFmt w:val="decimal"/>
      <w:lvlText w:val="%1."/>
      <w:lvlJc w:val="left"/>
      <w:pPr>
        <w:ind w:left="420" w:hanging="420"/>
      </w:pPr>
      <w:rPr>
        <w:rFonts w:hint="eastAsia" w:asciiTheme="minorEastAsia" w:hAnsiTheme="minorEastAsia" w:eastAsiaTheme="minorEastAsia"/>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325FC3"/>
    <w:rsid w:val="00013CAA"/>
    <w:rsid w:val="0002386B"/>
    <w:rsid w:val="00033DDD"/>
    <w:rsid w:val="000455EA"/>
    <w:rsid w:val="000456F2"/>
    <w:rsid w:val="00064737"/>
    <w:rsid w:val="00071873"/>
    <w:rsid w:val="000831B7"/>
    <w:rsid w:val="000A4B6B"/>
    <w:rsid w:val="000B0042"/>
    <w:rsid w:val="000B55DE"/>
    <w:rsid w:val="000C140D"/>
    <w:rsid w:val="000C6FCC"/>
    <w:rsid w:val="000C7024"/>
    <w:rsid w:val="000D0A04"/>
    <w:rsid w:val="000E01EB"/>
    <w:rsid w:val="000E068E"/>
    <w:rsid w:val="000E31B1"/>
    <w:rsid w:val="000E6D09"/>
    <w:rsid w:val="00102445"/>
    <w:rsid w:val="001056B3"/>
    <w:rsid w:val="00117E7C"/>
    <w:rsid w:val="0013243C"/>
    <w:rsid w:val="001464F2"/>
    <w:rsid w:val="00146F9F"/>
    <w:rsid w:val="0015217F"/>
    <w:rsid w:val="0015497E"/>
    <w:rsid w:val="0016172E"/>
    <w:rsid w:val="00166558"/>
    <w:rsid w:val="00170294"/>
    <w:rsid w:val="0019742B"/>
    <w:rsid w:val="001C770E"/>
    <w:rsid w:val="001D172C"/>
    <w:rsid w:val="001D63DF"/>
    <w:rsid w:val="001F4365"/>
    <w:rsid w:val="001F4EDF"/>
    <w:rsid w:val="002160FE"/>
    <w:rsid w:val="002169F4"/>
    <w:rsid w:val="00217193"/>
    <w:rsid w:val="0022423C"/>
    <w:rsid w:val="00231799"/>
    <w:rsid w:val="00235301"/>
    <w:rsid w:val="00243E8B"/>
    <w:rsid w:val="0025168D"/>
    <w:rsid w:val="00253FE0"/>
    <w:rsid w:val="00263904"/>
    <w:rsid w:val="00280D64"/>
    <w:rsid w:val="002A44B3"/>
    <w:rsid w:val="002C03AA"/>
    <w:rsid w:val="002C2215"/>
    <w:rsid w:val="002D591C"/>
    <w:rsid w:val="002D7010"/>
    <w:rsid w:val="002D76F8"/>
    <w:rsid w:val="002E00F9"/>
    <w:rsid w:val="003029CC"/>
    <w:rsid w:val="00322F3A"/>
    <w:rsid w:val="00362F56"/>
    <w:rsid w:val="0036338A"/>
    <w:rsid w:val="0037004A"/>
    <w:rsid w:val="00372410"/>
    <w:rsid w:val="00375001"/>
    <w:rsid w:val="00376205"/>
    <w:rsid w:val="00376E4E"/>
    <w:rsid w:val="003B7542"/>
    <w:rsid w:val="003C15AA"/>
    <w:rsid w:val="003C4443"/>
    <w:rsid w:val="003D2BA7"/>
    <w:rsid w:val="003D7B00"/>
    <w:rsid w:val="003E77B8"/>
    <w:rsid w:val="003F29C4"/>
    <w:rsid w:val="003F486C"/>
    <w:rsid w:val="003F5835"/>
    <w:rsid w:val="0040471F"/>
    <w:rsid w:val="0041432B"/>
    <w:rsid w:val="00420172"/>
    <w:rsid w:val="00433A77"/>
    <w:rsid w:val="0044161A"/>
    <w:rsid w:val="00443425"/>
    <w:rsid w:val="0045010D"/>
    <w:rsid w:val="00472DB8"/>
    <w:rsid w:val="00483238"/>
    <w:rsid w:val="004838E1"/>
    <w:rsid w:val="00497AC3"/>
    <w:rsid w:val="004A76B4"/>
    <w:rsid w:val="004C03BB"/>
    <w:rsid w:val="004D4DF0"/>
    <w:rsid w:val="004D5271"/>
    <w:rsid w:val="004E6FF0"/>
    <w:rsid w:val="005005EC"/>
    <w:rsid w:val="005043B7"/>
    <w:rsid w:val="00516AF4"/>
    <w:rsid w:val="00517E54"/>
    <w:rsid w:val="00520BA4"/>
    <w:rsid w:val="00535D6D"/>
    <w:rsid w:val="005458E1"/>
    <w:rsid w:val="005575B5"/>
    <w:rsid w:val="00565278"/>
    <w:rsid w:val="005827FF"/>
    <w:rsid w:val="00587059"/>
    <w:rsid w:val="00595A1F"/>
    <w:rsid w:val="005A1C63"/>
    <w:rsid w:val="005A53F4"/>
    <w:rsid w:val="005B60F0"/>
    <w:rsid w:val="005C7B6A"/>
    <w:rsid w:val="005C7C30"/>
    <w:rsid w:val="005F4488"/>
    <w:rsid w:val="00602B3F"/>
    <w:rsid w:val="0060679E"/>
    <w:rsid w:val="00635480"/>
    <w:rsid w:val="00641152"/>
    <w:rsid w:val="00643907"/>
    <w:rsid w:val="00657E35"/>
    <w:rsid w:val="00660595"/>
    <w:rsid w:val="00661422"/>
    <w:rsid w:val="00662F41"/>
    <w:rsid w:val="00664993"/>
    <w:rsid w:val="00693186"/>
    <w:rsid w:val="006B2C54"/>
    <w:rsid w:val="006B655E"/>
    <w:rsid w:val="006C7733"/>
    <w:rsid w:val="006E26EA"/>
    <w:rsid w:val="006E4A8A"/>
    <w:rsid w:val="006E60DA"/>
    <w:rsid w:val="006F3C0D"/>
    <w:rsid w:val="006F6377"/>
    <w:rsid w:val="00703FC4"/>
    <w:rsid w:val="00707942"/>
    <w:rsid w:val="0071139E"/>
    <w:rsid w:val="00741B95"/>
    <w:rsid w:val="00760291"/>
    <w:rsid w:val="0076123D"/>
    <w:rsid w:val="00762DF8"/>
    <w:rsid w:val="00764593"/>
    <w:rsid w:val="00764CCE"/>
    <w:rsid w:val="007806AE"/>
    <w:rsid w:val="00785497"/>
    <w:rsid w:val="00786DC0"/>
    <w:rsid w:val="007A47CF"/>
    <w:rsid w:val="007A7354"/>
    <w:rsid w:val="007C0E62"/>
    <w:rsid w:val="007C21E7"/>
    <w:rsid w:val="007E38A0"/>
    <w:rsid w:val="007F0A1F"/>
    <w:rsid w:val="007F0FA4"/>
    <w:rsid w:val="007F4192"/>
    <w:rsid w:val="00811B0A"/>
    <w:rsid w:val="00851E18"/>
    <w:rsid w:val="008568EA"/>
    <w:rsid w:val="00857D4A"/>
    <w:rsid w:val="00875328"/>
    <w:rsid w:val="00876F9C"/>
    <w:rsid w:val="00890B98"/>
    <w:rsid w:val="00894158"/>
    <w:rsid w:val="008B2990"/>
    <w:rsid w:val="008C0A2C"/>
    <w:rsid w:val="008C0DB3"/>
    <w:rsid w:val="008C22BD"/>
    <w:rsid w:val="008C2598"/>
    <w:rsid w:val="008C2A62"/>
    <w:rsid w:val="008E6A62"/>
    <w:rsid w:val="008F18F6"/>
    <w:rsid w:val="008F24B3"/>
    <w:rsid w:val="009068E3"/>
    <w:rsid w:val="00915E42"/>
    <w:rsid w:val="009164CD"/>
    <w:rsid w:val="00917330"/>
    <w:rsid w:val="00926C91"/>
    <w:rsid w:val="009277A8"/>
    <w:rsid w:val="009322D5"/>
    <w:rsid w:val="00941113"/>
    <w:rsid w:val="00941182"/>
    <w:rsid w:val="00946196"/>
    <w:rsid w:val="00957B23"/>
    <w:rsid w:val="00962C29"/>
    <w:rsid w:val="00964895"/>
    <w:rsid w:val="009720E6"/>
    <w:rsid w:val="00983738"/>
    <w:rsid w:val="00991F5A"/>
    <w:rsid w:val="009978EB"/>
    <w:rsid w:val="00997E6C"/>
    <w:rsid w:val="009A5E7A"/>
    <w:rsid w:val="009B00B6"/>
    <w:rsid w:val="009B51D9"/>
    <w:rsid w:val="009C7947"/>
    <w:rsid w:val="009E32E6"/>
    <w:rsid w:val="009F3F87"/>
    <w:rsid w:val="009F7ECC"/>
    <w:rsid w:val="00A0245B"/>
    <w:rsid w:val="00A04DEF"/>
    <w:rsid w:val="00A07A49"/>
    <w:rsid w:val="00A12D4E"/>
    <w:rsid w:val="00A301D4"/>
    <w:rsid w:val="00A34B8E"/>
    <w:rsid w:val="00A4308E"/>
    <w:rsid w:val="00A43FBC"/>
    <w:rsid w:val="00A65FE6"/>
    <w:rsid w:val="00A67E2D"/>
    <w:rsid w:val="00A91881"/>
    <w:rsid w:val="00AA697E"/>
    <w:rsid w:val="00AB151F"/>
    <w:rsid w:val="00AE720B"/>
    <w:rsid w:val="00AF6F5D"/>
    <w:rsid w:val="00B0398D"/>
    <w:rsid w:val="00B04A22"/>
    <w:rsid w:val="00B07140"/>
    <w:rsid w:val="00B10164"/>
    <w:rsid w:val="00B108CE"/>
    <w:rsid w:val="00B22266"/>
    <w:rsid w:val="00B328F9"/>
    <w:rsid w:val="00B47699"/>
    <w:rsid w:val="00B52B79"/>
    <w:rsid w:val="00B6003C"/>
    <w:rsid w:val="00B87969"/>
    <w:rsid w:val="00B955C4"/>
    <w:rsid w:val="00BA132A"/>
    <w:rsid w:val="00BB6CE9"/>
    <w:rsid w:val="00BC56CD"/>
    <w:rsid w:val="00BD63C2"/>
    <w:rsid w:val="00BE1CFC"/>
    <w:rsid w:val="00C055D8"/>
    <w:rsid w:val="00C130A9"/>
    <w:rsid w:val="00C20456"/>
    <w:rsid w:val="00C262A4"/>
    <w:rsid w:val="00C450BA"/>
    <w:rsid w:val="00C561B8"/>
    <w:rsid w:val="00C56784"/>
    <w:rsid w:val="00C56875"/>
    <w:rsid w:val="00C67DC1"/>
    <w:rsid w:val="00C71031"/>
    <w:rsid w:val="00C83356"/>
    <w:rsid w:val="00C85CE3"/>
    <w:rsid w:val="00CA48C5"/>
    <w:rsid w:val="00CC6EA8"/>
    <w:rsid w:val="00CD1627"/>
    <w:rsid w:val="00CD6E30"/>
    <w:rsid w:val="00CD7473"/>
    <w:rsid w:val="00CD7DF6"/>
    <w:rsid w:val="00CE3370"/>
    <w:rsid w:val="00CF5123"/>
    <w:rsid w:val="00CF71F3"/>
    <w:rsid w:val="00D225B5"/>
    <w:rsid w:val="00D26949"/>
    <w:rsid w:val="00D339FB"/>
    <w:rsid w:val="00D376C0"/>
    <w:rsid w:val="00D41F02"/>
    <w:rsid w:val="00D459BC"/>
    <w:rsid w:val="00D463D3"/>
    <w:rsid w:val="00D5486E"/>
    <w:rsid w:val="00D66742"/>
    <w:rsid w:val="00D72F53"/>
    <w:rsid w:val="00DC027A"/>
    <w:rsid w:val="00DC46BA"/>
    <w:rsid w:val="00DD1E6F"/>
    <w:rsid w:val="00DD30B6"/>
    <w:rsid w:val="00DE09D7"/>
    <w:rsid w:val="00DE0D95"/>
    <w:rsid w:val="00DE5635"/>
    <w:rsid w:val="00DF7975"/>
    <w:rsid w:val="00E13E82"/>
    <w:rsid w:val="00E4483A"/>
    <w:rsid w:val="00E4790E"/>
    <w:rsid w:val="00E52C11"/>
    <w:rsid w:val="00E5306B"/>
    <w:rsid w:val="00E64D96"/>
    <w:rsid w:val="00E70595"/>
    <w:rsid w:val="00E72C70"/>
    <w:rsid w:val="00E73C2C"/>
    <w:rsid w:val="00E743E4"/>
    <w:rsid w:val="00EA4456"/>
    <w:rsid w:val="00EA67FA"/>
    <w:rsid w:val="00EA70EC"/>
    <w:rsid w:val="00EB5F28"/>
    <w:rsid w:val="00EC347A"/>
    <w:rsid w:val="00ED7763"/>
    <w:rsid w:val="00EE1DB8"/>
    <w:rsid w:val="00EE5A81"/>
    <w:rsid w:val="00EF6791"/>
    <w:rsid w:val="00F037BA"/>
    <w:rsid w:val="00F07462"/>
    <w:rsid w:val="00F11C43"/>
    <w:rsid w:val="00F1625F"/>
    <w:rsid w:val="00F176F0"/>
    <w:rsid w:val="00F633D8"/>
    <w:rsid w:val="00F82A03"/>
    <w:rsid w:val="00FA02F4"/>
    <w:rsid w:val="00FB1E0D"/>
    <w:rsid w:val="00FC659F"/>
    <w:rsid w:val="00FD3A98"/>
    <w:rsid w:val="00FE39C5"/>
    <w:rsid w:val="00FE686D"/>
    <w:rsid w:val="01DA0075"/>
    <w:rsid w:val="08E928E6"/>
    <w:rsid w:val="0CDE2380"/>
    <w:rsid w:val="0D00431A"/>
    <w:rsid w:val="0DD45C9F"/>
    <w:rsid w:val="0DF41C3A"/>
    <w:rsid w:val="0E7202B6"/>
    <w:rsid w:val="0F346B98"/>
    <w:rsid w:val="0F9275CB"/>
    <w:rsid w:val="10671A0A"/>
    <w:rsid w:val="119B7B15"/>
    <w:rsid w:val="13107332"/>
    <w:rsid w:val="13C35A01"/>
    <w:rsid w:val="13FD0ADB"/>
    <w:rsid w:val="152D1E11"/>
    <w:rsid w:val="1545430E"/>
    <w:rsid w:val="15726482"/>
    <w:rsid w:val="15945AEA"/>
    <w:rsid w:val="177E2A9E"/>
    <w:rsid w:val="18EA5042"/>
    <w:rsid w:val="1912535C"/>
    <w:rsid w:val="1C4A52FC"/>
    <w:rsid w:val="1C6A0B90"/>
    <w:rsid w:val="1CA1095E"/>
    <w:rsid w:val="1CED1C9B"/>
    <w:rsid w:val="1DD705D3"/>
    <w:rsid w:val="1F9E6992"/>
    <w:rsid w:val="20F95E5A"/>
    <w:rsid w:val="2101769E"/>
    <w:rsid w:val="24E022C1"/>
    <w:rsid w:val="25AB0528"/>
    <w:rsid w:val="25E13F23"/>
    <w:rsid w:val="264624FA"/>
    <w:rsid w:val="26F65B42"/>
    <w:rsid w:val="271D601A"/>
    <w:rsid w:val="282A473D"/>
    <w:rsid w:val="29965A3B"/>
    <w:rsid w:val="299F4B57"/>
    <w:rsid w:val="29D32F54"/>
    <w:rsid w:val="2AF258B8"/>
    <w:rsid w:val="2CF21355"/>
    <w:rsid w:val="2E073B40"/>
    <w:rsid w:val="2E62114C"/>
    <w:rsid w:val="2F5D1D1E"/>
    <w:rsid w:val="2F7513CC"/>
    <w:rsid w:val="2FC44B5F"/>
    <w:rsid w:val="2FCB7712"/>
    <w:rsid w:val="3317188C"/>
    <w:rsid w:val="34157570"/>
    <w:rsid w:val="355E7BA0"/>
    <w:rsid w:val="372E6090"/>
    <w:rsid w:val="378371FA"/>
    <w:rsid w:val="38DD578C"/>
    <w:rsid w:val="3A212ED6"/>
    <w:rsid w:val="3B584A9D"/>
    <w:rsid w:val="3B5B6CFE"/>
    <w:rsid w:val="3B954BA5"/>
    <w:rsid w:val="3C7602B4"/>
    <w:rsid w:val="3E8246C7"/>
    <w:rsid w:val="3E8B7037"/>
    <w:rsid w:val="3F2B870B"/>
    <w:rsid w:val="3F85718A"/>
    <w:rsid w:val="4018653D"/>
    <w:rsid w:val="40701D3C"/>
    <w:rsid w:val="4375061C"/>
    <w:rsid w:val="45A10598"/>
    <w:rsid w:val="462644F1"/>
    <w:rsid w:val="468655E2"/>
    <w:rsid w:val="46E466EF"/>
    <w:rsid w:val="48BC38EE"/>
    <w:rsid w:val="4B9A2893"/>
    <w:rsid w:val="4D457F41"/>
    <w:rsid w:val="4D522EF5"/>
    <w:rsid w:val="4DD12470"/>
    <w:rsid w:val="4E583E61"/>
    <w:rsid w:val="558A167F"/>
    <w:rsid w:val="55E36FF8"/>
    <w:rsid w:val="56572266"/>
    <w:rsid w:val="576D3CD7"/>
    <w:rsid w:val="57F908D6"/>
    <w:rsid w:val="5914249E"/>
    <w:rsid w:val="597439BB"/>
    <w:rsid w:val="5C287F1F"/>
    <w:rsid w:val="5C621B90"/>
    <w:rsid w:val="5E6B1F56"/>
    <w:rsid w:val="5EBB76E7"/>
    <w:rsid w:val="5F1924DB"/>
    <w:rsid w:val="5FB354EF"/>
    <w:rsid w:val="5FEC755E"/>
    <w:rsid w:val="5FFE51D7"/>
    <w:rsid w:val="60075A48"/>
    <w:rsid w:val="601A00D7"/>
    <w:rsid w:val="618C1425"/>
    <w:rsid w:val="61C82950"/>
    <w:rsid w:val="62525DE7"/>
    <w:rsid w:val="630458F6"/>
    <w:rsid w:val="63325FC3"/>
    <w:rsid w:val="633A6F09"/>
    <w:rsid w:val="642A5851"/>
    <w:rsid w:val="66564D7F"/>
    <w:rsid w:val="67786F87"/>
    <w:rsid w:val="67EE7AB9"/>
    <w:rsid w:val="696461D8"/>
    <w:rsid w:val="6B1F2A9F"/>
    <w:rsid w:val="6BE04EF8"/>
    <w:rsid w:val="6D535020"/>
    <w:rsid w:val="6D7623E3"/>
    <w:rsid w:val="6DD21482"/>
    <w:rsid w:val="6FFB2DB3"/>
    <w:rsid w:val="710C6AA7"/>
    <w:rsid w:val="72963589"/>
    <w:rsid w:val="73747810"/>
    <w:rsid w:val="748658DD"/>
    <w:rsid w:val="74A135A7"/>
    <w:rsid w:val="750F3266"/>
    <w:rsid w:val="788067CD"/>
    <w:rsid w:val="794F70F7"/>
    <w:rsid w:val="7BDF3221"/>
    <w:rsid w:val="7C327429"/>
    <w:rsid w:val="7CAA0A1A"/>
    <w:rsid w:val="7CD726C1"/>
    <w:rsid w:val="7CE023C4"/>
    <w:rsid w:val="7FB064AC"/>
    <w:rsid w:val="B9FB40E9"/>
    <w:rsid w:val="BDF73288"/>
    <w:rsid w:val="F9F6D662"/>
    <w:rsid w:val="FED5D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line="360" w:lineRule="auto"/>
      <w:outlineLvl w:val="0"/>
    </w:pPr>
    <w:rPr>
      <w:rFonts w:ascii="Times New Roman" w:hAnsi="Times New Roman" w:cstheme="minorBidi"/>
      <w:b/>
      <w:bCs/>
      <w:kern w:val="44"/>
      <w:sz w:val="36"/>
      <w:szCs w:val="44"/>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link w:val="16"/>
    <w:unhideWhenUsed/>
    <w:qFormat/>
    <w:uiPriority w:val="0"/>
    <w:pPr>
      <w:jc w:val="left"/>
    </w:pPr>
    <w:rPr>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paragraph" w:customStyle="1" w:styleId="13">
    <w:name w:val="列出段落1"/>
    <w:basedOn w:val="1"/>
    <w:qFormat/>
    <w:uiPriority w:val="34"/>
    <w:pPr>
      <w:ind w:firstLine="420" w:firstLineChars="200"/>
    </w:pPr>
    <w:rPr>
      <w:rFonts w:ascii="Times New Roman" w:hAnsi="Times New Roman"/>
      <w:szCs w:val="20"/>
    </w:rPr>
  </w:style>
  <w:style w:type="paragraph" w:styleId="14">
    <w:name w:val="List Paragraph"/>
    <w:basedOn w:val="1"/>
    <w:qFormat/>
    <w:uiPriority w:val="99"/>
    <w:pPr>
      <w:ind w:firstLine="420" w:firstLineChars="200"/>
    </w:pPr>
  </w:style>
  <w:style w:type="character" w:customStyle="1" w:styleId="15">
    <w:name w:val="页眉 字符"/>
    <w:basedOn w:val="11"/>
    <w:link w:val="7"/>
    <w:qFormat/>
    <w:uiPriority w:val="0"/>
    <w:rPr>
      <w:rFonts w:ascii="Calibri" w:hAnsi="Calibri"/>
      <w:kern w:val="2"/>
      <w:sz w:val="18"/>
      <w:szCs w:val="18"/>
    </w:rPr>
  </w:style>
  <w:style w:type="character" w:customStyle="1" w:styleId="16">
    <w:name w:val="批注文字 字符"/>
    <w:basedOn w:val="11"/>
    <w:link w:val="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68E18-C3FB-442E-97A4-BDC8A36AFCD9}">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665</Words>
  <Characters>3795</Characters>
  <Lines>31</Lines>
  <Paragraphs>8</Paragraphs>
  <TotalTime>4</TotalTime>
  <ScaleCrop>false</ScaleCrop>
  <LinksUpToDate>false</LinksUpToDate>
  <CharactersWithSpaces>4452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2020-06-24T09:28:00Z</dcterms:created>
  <dc:creator>hjq</dc:creator>
  <cp:lastModifiedBy>胡瑞</cp:lastModifiedBy>
  <dcterms:modified xsi:type="dcterms:W3CDTF">2022-06-06T07:22:02Z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