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333333"/>
          <w:kern w:val="0"/>
          <w:sz w:val="32"/>
          <w:szCs w:val="32"/>
        </w:rPr>
        <w:t>（一）采购预算金额：</w:t>
      </w:r>
      <w:r>
        <w:rPr>
          <w:rFonts w:hint="eastAsia" w:ascii="黑体" w:hAnsi="黑体" w:eastAsia="黑体" w:cs="Segoe UI"/>
          <w:color w:val="333333"/>
          <w:kern w:val="0"/>
          <w:sz w:val="32"/>
          <w:szCs w:val="32"/>
          <w:lang w:val="en-US" w:eastAsia="zh-CN"/>
        </w:rPr>
        <w:t xml:space="preserve"> 15000</w:t>
      </w:r>
      <w:bookmarkStart w:id="0" w:name="_GoBack"/>
      <w:bookmarkEnd w:id="0"/>
      <w:r>
        <w:rPr>
          <w:rFonts w:hint="eastAsia" w:ascii="黑体" w:hAnsi="黑体" w:eastAsia="黑体" w:cs="Segoe UI"/>
          <w:color w:val="333333"/>
          <w:kern w:val="0"/>
          <w:sz w:val="32"/>
          <w:szCs w:val="32"/>
        </w:rPr>
        <w:t>元</w:t>
      </w:r>
    </w:p>
    <w:p>
      <w:pPr>
        <w:spacing w:line="24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Segoe UI"/>
          <w:color w:val="333333"/>
          <w:kern w:val="0"/>
          <w:sz w:val="32"/>
          <w:szCs w:val="32"/>
        </w:rPr>
        <w:t>（二）采购项目配置需求</w:t>
      </w:r>
    </w:p>
    <w:p>
      <w:pPr>
        <w:spacing w:line="24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1、</w:t>
      </w:r>
      <w:r>
        <w:rPr>
          <w:rFonts w:hint="eastAsia" w:ascii="黑体" w:eastAsia="黑体"/>
          <w:sz w:val="32"/>
          <w:szCs w:val="32"/>
        </w:rPr>
        <w:t>服务范围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)依据《中华人民共和国职业病防治法》及其配套规章、《放射性同位素与射线装置安全和防护条例》、《放射诊疗管理规定》、《建设项目职业病危害分类管理办法》进行操作和技术评价，保证技术服务质量。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)在每个监测开始前至少提前5个工作日将该监测周期的所有剂量计寄出给医院监测项目联系人。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)监测报告发现人员剂量超标情况时，检测公司要在3个工作日内向院方联系人反馈情况并提出切实可行的处理方案，配合医院解决问题。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)常规情况下每个监测周期为90天，院方有权调整监测周期长短，监测周期控制在30-90天内。因周期长短调整导致监测次数增加的，乙方需提供相应的检测报告，且不再收取额外费用。</w:t>
      </w:r>
    </w:p>
    <w:p>
      <w:pPr>
        <w:pStyle w:val="3"/>
        <w:widowControl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)严格遵守职业道德和执业纪律，不得泄露医院剂量检测数据，非法律规定或者医院书面同意，不得向任何第三方披露。</w:t>
      </w:r>
    </w:p>
    <w:p>
      <w:pPr>
        <w:pStyle w:val="3"/>
        <w:widowControl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、项目内容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个人剂量监测人员：普放人员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29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人，介入人员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人员数量随业务开展会有所变化。</w:t>
      </w:r>
    </w:p>
    <w:p>
      <w:pPr>
        <w:pStyle w:val="3"/>
        <w:widowControl/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服务期限：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</w:pP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/>
        <w:rPr>
          <w:rFonts w:hint="eastAsia" w:ascii="黑体" w:hAnsi="黑体" w:eastAsia="黑体" w:cs="Segoe U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Segoe UI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Segoe UI"/>
          <w:color w:val="333333"/>
          <w:kern w:val="0"/>
          <w:sz w:val="32"/>
          <w:szCs w:val="32"/>
          <w:lang w:val="en-US" w:eastAsia="zh-CN"/>
        </w:rPr>
        <w:t>2：</w:t>
      </w: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 w:firstLine="2560" w:firstLineChars="800"/>
        <w:jc w:val="both"/>
        <w:rPr>
          <w:rFonts w:hint="eastAsia" w:ascii="黑体" w:hAnsi="黑体" w:eastAsia="黑体" w:cs="Segoe U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color w:val="333333"/>
          <w:kern w:val="0"/>
          <w:sz w:val="32"/>
          <w:szCs w:val="32"/>
        </w:rPr>
        <w:t>采购文件书装订顺序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（一）封面（注明项目名称、公司名称、联系人、联系电话、加盖供应商印章）；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（二）目录（必须标记页码）；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（三）有效的营业执照、税务登记证、组织机构代码证或三证合一营业执照（副本）；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（四）法定代表人授权书（见附件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）,法人、授权代表身份证复印件；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（五）放射卫生技术服务乙级及以上资质证书，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个人剂量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；中国计量认证(CMA认证)合格证书；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技术人员执业资格证书；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（七）报价一览表（格式见附件3）；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具有良好的商业信誉和健全的财务会计制度承诺函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（九）提供具有依法缴纳税收和社会保障资金的良好记录;承诺函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（十）提供参加政府采购活动前三年内，在经营活动中没有重大违法记录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承诺函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（十一）业绩证明资料（格式见附件3）</w:t>
      </w:r>
    </w:p>
    <w:p>
      <w:pPr>
        <w:pStyle w:val="3"/>
        <w:widowControl/>
        <w:shd w:val="clear" w:color="auto" w:fill="FFFFFF"/>
        <w:spacing w:before="0" w:beforeAutospacing="0" w:after="108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（十二）封底</w:t>
      </w:r>
    </w:p>
    <w:p>
      <w:pPr>
        <w:pStyle w:val="3"/>
        <w:widowControl/>
        <w:numPr>
          <w:ilvl w:val="0"/>
          <w:numId w:val="0"/>
        </w:numPr>
        <w:spacing w:line="360" w:lineRule="auto"/>
        <w:ind w:right="0" w:rightChars="0" w:firstLine="1600" w:firstLineChars="500"/>
        <w:jc w:val="center"/>
        <w:rPr>
          <w:rFonts w:hint="eastAsia" w:ascii="黑体" w:hAnsi="黑体" w:eastAsia="黑体" w:cs="Segoe UI"/>
          <w:color w:val="333333"/>
          <w:kern w:val="0"/>
          <w:sz w:val="32"/>
          <w:szCs w:val="32"/>
        </w:rPr>
      </w:pPr>
    </w:p>
    <w:p>
      <w:pPr>
        <w:pStyle w:val="3"/>
        <w:widowControl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276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法定代表人授权书</w:t>
      </w:r>
    </w:p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6300"/>
        </w:tabs>
        <w:spacing w:line="276" w:lineRule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本授权委托书声明：我         系          的法定代表人，现授权      为我公司（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律所）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委托代理人，以本公司（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律所）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的名义参加四川省妇幼保健院</w:t>
      </w:r>
      <w:r>
        <w:rPr>
          <w:rFonts w:hint="eastAsia" w:ascii="仿宋_GB2312" w:eastAsia="仿宋_GB2312"/>
          <w:color w:val="000000"/>
          <w:sz w:val="32"/>
          <w:szCs w:val="32"/>
        </w:rPr>
        <w:t>法律顾问服务招标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活动。委托代理人在</w:t>
      </w:r>
      <w:r>
        <w:rPr>
          <w:rFonts w:hint="eastAsia" w:ascii="仿宋_GB2312" w:eastAsia="仿宋_GB2312"/>
          <w:color w:val="000000"/>
          <w:sz w:val="32"/>
          <w:szCs w:val="32"/>
        </w:rPr>
        <w:t>法律顾问服务招标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活动过程中所签署的一切文件和处理与之有关的一切事务，我及我的公司（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）均予以承认并全部承担其产生的所有权利和义务。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委托代理人无转委托权。特此委托。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授权代表签字：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（加盖公章）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rPr>
          <w:rFonts w:ascii="仿宋_GB2312" w:eastAsia="仿宋_GB2312"/>
        </w:rPr>
      </w:pPr>
    </w:p>
    <w:p/>
    <w:p>
      <w:pPr>
        <w:spacing w:line="276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报价一览表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11"/>
        <w:gridCol w:w="1991"/>
        <w:gridCol w:w="1814"/>
        <w:gridCol w:w="188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成交单价（元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成交总价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供应商名称：         （盖公章）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法定代表人（或负责人）或授权代表（签字或加盖个人名章）：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     年    月    日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注：1.报价应是最终用户验收合格后的总价。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276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业绩汇总</w:t>
      </w:r>
    </w:p>
    <w:p>
      <w:pPr>
        <w:widowControl/>
        <w:wordWrap w:val="0"/>
        <w:jc w:val="center"/>
        <w:rPr>
          <w:rFonts w:ascii="宋体" w:hAnsi="宋体" w:cs="Segoe UI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</w:t>
      </w:r>
    </w:p>
    <w:tbl>
      <w:tblPr>
        <w:tblStyle w:val="4"/>
        <w:tblpPr w:leftFromText="180" w:rightFromText="180" w:vertAnchor="text" w:horzAnchor="page" w:tblpX="1847" w:tblpY="187"/>
        <w:tblOverlap w:val="never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1"/>
        <w:gridCol w:w="1440"/>
        <w:gridCol w:w="1947"/>
        <w:gridCol w:w="170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甲方名称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合同签订时间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1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4B704"/>
    <w:multiLevelType w:val="singleLevel"/>
    <w:tmpl w:val="4934B70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mZiMWJmNjZmMTkxYjJmMWRiOTZlY2QzMmQ3YjcifQ=="/>
  </w:docVars>
  <w:rsids>
    <w:rsidRoot w:val="00000000"/>
    <w:rsid w:val="04785EAF"/>
    <w:rsid w:val="0F116159"/>
    <w:rsid w:val="12D15108"/>
    <w:rsid w:val="18C4126B"/>
    <w:rsid w:val="1CBA6C0D"/>
    <w:rsid w:val="210743EB"/>
    <w:rsid w:val="21CF4F08"/>
    <w:rsid w:val="24A02B8C"/>
    <w:rsid w:val="28DE0127"/>
    <w:rsid w:val="2B196573"/>
    <w:rsid w:val="2EBF6305"/>
    <w:rsid w:val="31342FDA"/>
    <w:rsid w:val="3BC92B7F"/>
    <w:rsid w:val="3C37397E"/>
    <w:rsid w:val="4387343D"/>
    <w:rsid w:val="44705C7F"/>
    <w:rsid w:val="48A27589"/>
    <w:rsid w:val="4AB03109"/>
    <w:rsid w:val="4ABE3138"/>
    <w:rsid w:val="64CF5D13"/>
    <w:rsid w:val="69754225"/>
    <w:rsid w:val="709F1517"/>
    <w:rsid w:val="78D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1109</Words>
  <Characters>1129</Characters>
  <Lines>0</Lines>
  <Paragraphs>0</Paragraphs>
  <TotalTime>10</TotalTime>
  <ScaleCrop>false</ScaleCrop>
  <LinksUpToDate>false</LinksUpToDate>
  <CharactersWithSpaces>1238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2022-04-14T02:43:00Z</dcterms:created>
  <dc:creator>lenovo</dc:creator>
  <cp:lastModifiedBy>%E5%B0%8F%E9%AC%BC%EE%90%A9</cp:lastModifiedBy>
  <dcterms:modified xsi:type="dcterms:W3CDTF">2022-06-09T08:02:41Z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238BBB870AE8403DB7E399C7301124CF</vt:lpwstr>
  </property>
</Properties>
</file>