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lang w:val="en-US" w:eastAsia="zh-CN"/>
        </w:rPr>
      </w:pPr>
      <w:r>
        <w:rPr>
          <w:rFonts w:hint="eastAsia" w:ascii="宋体" w:hAnsi="宋体" w:eastAsia="宋体" w:cs="仿宋"/>
          <w:bCs w:val="0"/>
          <w:sz w:val="24"/>
          <w:szCs w:val="24"/>
        </w:rPr>
        <w:t>前提：本</w:t>
      </w:r>
      <w:r>
        <w:rPr>
          <w:rFonts w:hint="eastAsia" w:ascii="宋体" w:hAnsi="宋体" w:eastAsia="宋体" w:cs="仿宋"/>
          <w:bCs w:val="0"/>
          <w:sz w:val="24"/>
          <w:szCs w:val="24"/>
          <w:lang w:val="en-US" w:eastAsia="zh-CN"/>
        </w:rPr>
        <w:t>附件</w:t>
      </w:r>
      <w:r>
        <w:rPr>
          <w:rFonts w:hint="eastAsia" w:ascii="宋体" w:hAnsi="宋体" w:eastAsia="宋体" w:cs="仿宋"/>
          <w:bCs w:val="0"/>
          <w:sz w:val="24"/>
          <w:szCs w:val="24"/>
        </w:rPr>
        <w:t>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一、项目</w:t>
      </w:r>
      <w:r>
        <w:rPr>
          <w:rFonts w:hint="eastAsia" w:ascii="仿宋" w:hAnsi="仿宋" w:eastAsia="仿宋" w:cs="Segoe UI"/>
          <w:color w:val="000000" w:themeColor="text1"/>
          <w:spacing w:val="8"/>
          <w:kern w:val="0"/>
          <w:sz w:val="24"/>
          <w:szCs w:val="24"/>
        </w:rPr>
        <w:t>名称：微生物鉴定药敏试剂耗材包一</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二、项目清单</w:t>
      </w:r>
      <w:r>
        <w:rPr>
          <w:rFonts w:hint="eastAsia" w:ascii="仿宋" w:hAnsi="仿宋" w:eastAsia="仿宋" w:cs="Segoe UI"/>
          <w:color w:val="000000" w:themeColor="text1"/>
          <w:spacing w:val="8"/>
          <w:kern w:val="0"/>
          <w:sz w:val="24"/>
          <w:szCs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843"/>
        <w:gridCol w:w="159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w:t>
            </w:r>
          </w:p>
          <w:p>
            <w:pPr>
              <w:widowControl/>
              <w:spacing w:line="360" w:lineRule="auto"/>
              <w:jc w:val="center"/>
              <w:rPr>
                <w:rFonts w:ascii="宋体" w:hAnsi="宋体" w:cs="仿宋"/>
                <w:kern w:val="0"/>
                <w:sz w:val="22"/>
              </w:rPr>
            </w:pPr>
            <w:r>
              <w:rPr>
                <w:rFonts w:hint="eastAsia" w:ascii="宋体" w:hAnsi="宋体" w:cs="仿宋"/>
                <w:kern w:val="0"/>
                <w:sz w:val="22"/>
              </w:rPr>
              <w:t>测试数</w:t>
            </w:r>
          </w:p>
        </w:tc>
        <w:tc>
          <w:tcPr>
            <w:tcW w:w="2950"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链球菌科细菌检测试剂盒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600测试</w:t>
            </w:r>
          </w:p>
        </w:tc>
        <w:tc>
          <w:tcPr>
            <w:tcW w:w="2950" w:type="dxa"/>
            <w:vMerge w:val="restart"/>
            <w:vAlign w:val="center"/>
          </w:tcPr>
          <w:p>
            <w:pPr>
              <w:widowControl/>
              <w:spacing w:line="360" w:lineRule="auto"/>
              <w:rPr>
                <w:rFonts w:ascii="宋体" w:hAnsi="宋体" w:cs="仿宋"/>
                <w:kern w:val="0"/>
                <w:sz w:val="22"/>
              </w:rPr>
            </w:pPr>
            <w:r>
              <w:rPr>
                <w:rFonts w:hint="eastAsia" w:ascii="宋体" w:hAnsi="宋体" w:cs="仿宋"/>
                <w:kern w:val="0"/>
                <w:sz w:val="22"/>
              </w:rPr>
              <w:t>供应商应根据检测项目及其配套设备运行所需的辅助试剂和耗材，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奈瑟菌/嗜血杆菌检测试剂盒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710测试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3</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酵母样真菌检测试剂盒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250测试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4</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其他种类检测试剂盒（若有，请报价）</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以上检测项目及其配套设备运行所需的辅助试剂和耗材（如Tip头、浊度标准管等）</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1610测试</w:t>
            </w:r>
          </w:p>
        </w:tc>
        <w:tc>
          <w:tcPr>
            <w:tcW w:w="2950" w:type="dxa"/>
            <w:vMerge w:val="continue"/>
            <w:vAlign w:val="center"/>
          </w:tcPr>
          <w:p>
            <w:pPr>
              <w:widowControl/>
              <w:spacing w:line="360" w:lineRule="auto"/>
              <w:jc w:val="center"/>
              <w:rPr>
                <w:rFonts w:ascii="宋体" w:hAnsi="宋体" w:cs="仿宋"/>
                <w:kern w:val="0"/>
                <w:sz w:val="22"/>
              </w:rPr>
            </w:pPr>
          </w:p>
        </w:tc>
      </w:tr>
    </w:tbl>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、项目要求：</w:t>
      </w:r>
    </w:p>
    <w:p>
      <w:pPr>
        <w:pStyle w:val="3"/>
        <w:ind w:left="283" w:leftChars="135" w:firstLine="0" w:firstLineChars="0"/>
        <w:rPr>
          <w:rFonts w:hint="eastAsia" w:ascii="宋体" w:hAnsi="宋体" w:cs="仿宋"/>
          <w:b/>
          <w:sz w:val="24"/>
        </w:rPr>
      </w:pPr>
      <w:r>
        <w:rPr>
          <w:rFonts w:hint="eastAsia" w:ascii="宋体" w:hAnsi="宋体" w:cs="仿宋"/>
          <w:b/>
          <w:sz w:val="24"/>
        </w:rPr>
        <w:t>▲（一）项目预算：15万元/年</w:t>
      </w:r>
    </w:p>
    <w:p>
      <w:pPr>
        <w:pStyle w:val="3"/>
        <w:ind w:left="283" w:leftChars="135" w:firstLine="0" w:firstLineChars="0"/>
        <w:rPr>
          <w:rFonts w:ascii="宋体" w:hAnsi="宋体" w:cs="仿宋"/>
          <w:b/>
          <w:bCs/>
          <w:sz w:val="24"/>
        </w:rPr>
      </w:pP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技术、服务要求：</w:t>
      </w:r>
    </w:p>
    <w:p>
      <w:pPr>
        <w:pStyle w:val="3"/>
        <w:ind w:left="283" w:leftChars="135" w:firstLine="0" w:firstLineChars="0"/>
        <w:rPr>
          <w:rFonts w:ascii="宋体" w:hAnsi="宋体" w:cs="仿宋"/>
          <w:sz w:val="24"/>
        </w:rPr>
      </w:pPr>
      <w:r>
        <w:rPr>
          <w:rFonts w:hint="eastAsia" w:ascii="宋体" w:hAnsi="宋体" w:cs="仿宋"/>
          <w:sz w:val="24"/>
        </w:rPr>
        <w:t>1、技术要求：</w:t>
      </w:r>
    </w:p>
    <w:p>
      <w:pPr>
        <w:pStyle w:val="3"/>
        <w:ind w:left="283" w:leftChars="135" w:firstLine="0" w:firstLineChars="0"/>
        <w:rPr>
          <w:rFonts w:ascii="宋体" w:hAnsi="宋体"/>
          <w:sz w:val="24"/>
        </w:rPr>
      </w:pPr>
      <w:r>
        <w:rPr>
          <w:rFonts w:hint="eastAsia" w:ascii="宋体" w:hAnsi="宋体" w:cs="仿宋"/>
          <w:sz w:val="24"/>
        </w:rPr>
        <w:t>（1）</w:t>
      </w:r>
      <w:r>
        <w:rPr>
          <w:rFonts w:hint="eastAsia" w:ascii="宋体" w:hAnsi="宋体"/>
          <w:sz w:val="24"/>
        </w:rPr>
        <w:t>试剂总体要求：</w:t>
      </w:r>
    </w:p>
    <w:p>
      <w:pPr>
        <w:pStyle w:val="3"/>
        <w:spacing w:line="400" w:lineRule="exact"/>
        <w:ind w:firstLine="480"/>
        <w:rPr>
          <w:rFonts w:hint="eastAsia" w:ascii="宋体"/>
          <w:color w:val="000000"/>
          <w:sz w:val="24"/>
        </w:rPr>
      </w:pPr>
      <w:r>
        <w:rPr>
          <w:rFonts w:hint="eastAsia" w:ascii="宋体"/>
          <w:color w:val="000000"/>
          <w:sz w:val="24"/>
        </w:rPr>
        <w:t>1.1可鉴定微生物种类超过500种，覆盖人、动物及环境菌株，满足科研、流行病学、公共卫生等多领域应用需要。</w:t>
      </w:r>
    </w:p>
    <w:p>
      <w:pPr>
        <w:pStyle w:val="3"/>
        <w:spacing w:line="400" w:lineRule="exact"/>
        <w:ind w:firstLine="480"/>
        <w:rPr>
          <w:rFonts w:hint="eastAsia" w:ascii="宋体"/>
          <w:color w:val="000000"/>
          <w:sz w:val="24"/>
        </w:rPr>
      </w:pPr>
      <w:r>
        <w:rPr>
          <w:rFonts w:hint="eastAsia" w:ascii="宋体"/>
          <w:color w:val="000000"/>
          <w:sz w:val="24"/>
        </w:rPr>
        <w:t>1.2可对肠杆菌科细菌进行菌种鉴定和药敏试验，药敏组合尽可能满足CLSI药敏试验标准文件和CARSS耐药监测的要求（请提供对应的板条名称和说明书）。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1.3可对非发酵菌进行菌种鉴定和药敏试验，药敏组合尽可能满足CLSI药敏试验标准文件和CARSS耐药监测的要求（请提供对应的板条名称和说明书）。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1.4可对棒状杆菌进行菌种鉴定和药敏试验，药敏组合尽可能满足CLSI药敏试验标准文件和CARSS耐药监测的要求（请提供对应的板条名称和说明书）。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1.5可对弧菌科细菌进行菌种鉴定和药敏试验，药敏组合尽可能满足CLSI药敏试验标准文件和CARSS耐药监测的要求（请提供对应的板条名称和说明书）。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1.6可对酵母样真菌进行菌种鉴定和药敏试验，药敏组合尽可能满足CLSI药敏试验标准文件和CARSS耐药监测的要求（请提供对应的板条名称和说明书）。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1.7可对链球菌科细菌进行菌种鉴定和药敏试验，药敏组合尽可能满足CLSI药敏试验标准文件和CARSS耐药监测的要求（请提供对应的板条名称和说明书）。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1.8可对奈瑟菌和嗜血杆菌进行菌种鉴定和药敏试验，药敏组合尽可能满足CLSI药敏试验标准文件和CARSS耐药监测的要求（请提供对应的板条名称和说明书）。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1.9可对葡萄球菌进行菌种鉴定和药敏试验，药敏组合尽可能满足CLSI药敏试验标准文件和CARSS耐药监测的要求（请提供对应的板条名称和说明书）。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1.10可对芽孢杆菌进行菌种鉴定和药敏试验，药敏组合尽可能满足CLSI药敏试验标准文件和CARSS耐药监测的要求（请提供对应的板条名称和说明书）。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1.11可对厌氧菌进行菌种鉴定和药敏试验，药敏组合尽可能满足CLSI药敏试验标准文件和CARSS耐药监测的要求（请提供对应的板条名称和说明书）。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1.12可对肺炎克雷伯菌、产酸克雷伯菌、大肠埃希菌和奇异变形杆菌等进行超广谱β-内酰胺酶试验（请提供对应的板条名称和说明书）。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1.13可对葡萄球菌属进行苯唑西林耐药检测试验（请提供对应的板条名称和说明书）。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1.14可对葡萄球菌属、肺炎链球菌和B-溶血链球菌群进行诱导克林霉素耐药检测试验（请提供对应的板条名称和说明书）。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1.15可对金黄色葡萄球菌进行高水平莫匹罗星耐药检测试验（请提供对应的板条名称和说明书）。</w:t>
      </w:r>
    </w:p>
    <w:p>
      <w:pPr>
        <w:pStyle w:val="3"/>
        <w:spacing w:line="400" w:lineRule="exact"/>
        <w:ind w:firstLine="480"/>
        <w:rPr>
          <w:rFonts w:hint="eastAsia" w:ascii="宋体"/>
          <w:color w:val="000000"/>
          <w:sz w:val="24"/>
        </w:rPr>
      </w:pPr>
      <w:r>
        <w:rPr>
          <w:rFonts w:hint="eastAsia" w:ascii="宋体"/>
          <w:color w:val="000000"/>
          <w:sz w:val="24"/>
        </w:rPr>
        <w:t>1.16可对肠球菌属进行高水平氨基糖苷耐药检测试验（请提供对应的板条名称和说明书）。</w:t>
      </w:r>
    </w:p>
    <w:p>
      <w:pPr>
        <w:pStyle w:val="3"/>
        <w:spacing w:line="400" w:lineRule="exact"/>
        <w:ind w:firstLine="480"/>
        <w:rPr>
          <w:rFonts w:ascii="宋体"/>
          <w:color w:val="000000"/>
          <w:sz w:val="24"/>
        </w:rPr>
      </w:pPr>
      <w:r>
        <w:rPr>
          <w:rFonts w:hint="eastAsia" w:ascii="宋体"/>
          <w:color w:val="000000"/>
          <w:sz w:val="24"/>
        </w:rPr>
        <w:t>1.17可对链球菌、肠球菌、奈瑟菌和嗜血杆菌等进行β-内酰胺酶试验（请提供对应的板条名称和说明书）。</w:t>
      </w:r>
    </w:p>
    <w:p>
      <w:pPr>
        <w:pStyle w:val="3"/>
        <w:ind w:left="283" w:leftChars="135" w:firstLine="0" w:firstLineChars="0"/>
        <w:rPr>
          <w:rFonts w:ascii="宋体" w:hAnsi="宋体" w:cs="仿宋"/>
          <w:b/>
          <w:bCs/>
          <w:sz w:val="24"/>
        </w:rPr>
      </w:pPr>
      <w:r>
        <w:rPr>
          <w:rFonts w:hint="eastAsia" w:ascii="宋体" w:hAnsi="宋体" w:cs="仿宋"/>
          <w:sz w:val="24"/>
        </w:rPr>
        <w:t>（2）技术服务要求：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 xml:space="preserve">2）.成交供应商在合同期内配置与响应试剂耗材产品适配的检验仪器： </w:t>
      </w:r>
    </w:p>
    <w:p>
      <w:pPr>
        <w:pStyle w:val="3"/>
        <w:spacing w:line="400" w:lineRule="exact"/>
        <w:ind w:firstLine="480"/>
        <w:rPr>
          <w:rFonts w:ascii="宋体"/>
          <w:color w:val="000000"/>
          <w:sz w:val="24"/>
        </w:rPr>
      </w:pPr>
      <w:r>
        <w:rPr>
          <w:rFonts w:hint="eastAsia" w:ascii="宋体"/>
          <w:color w:val="000000"/>
          <w:sz w:val="24"/>
        </w:rPr>
        <w:t>2.1配置数量：至少配置2套自动化微生物鉴定药敏分析系统，并根据医院业务发展需要实时增加设备数量。</w:t>
      </w:r>
    </w:p>
    <w:p>
      <w:pPr>
        <w:pStyle w:val="3"/>
        <w:spacing w:line="400" w:lineRule="exact"/>
        <w:ind w:firstLine="480"/>
        <w:rPr>
          <w:rFonts w:ascii="宋体"/>
          <w:color w:val="000000"/>
          <w:sz w:val="24"/>
        </w:rPr>
      </w:pPr>
      <w:r>
        <w:rPr>
          <w:rFonts w:hint="eastAsia" w:ascii="宋体"/>
          <w:color w:val="000000"/>
          <w:sz w:val="24"/>
        </w:rPr>
        <w:t>2.2维护保养：供应商承担检验仪器的维护保养及检修费用，根据科室要求提供免费培训和远程技术指导。</w:t>
      </w:r>
    </w:p>
    <w:p>
      <w:pPr>
        <w:pStyle w:val="3"/>
        <w:spacing w:line="400" w:lineRule="exact"/>
        <w:ind w:firstLine="480"/>
        <w:rPr>
          <w:rFonts w:ascii="宋体"/>
          <w:color w:val="000000"/>
          <w:sz w:val="24"/>
        </w:rPr>
      </w:pPr>
      <w:r>
        <w:rPr>
          <w:rFonts w:hint="eastAsia" w:ascii="宋体"/>
          <w:color w:val="000000"/>
          <w:sz w:val="24"/>
        </w:rPr>
        <w:t>2.3信息系统：供应商承担检验仪器与医院相关信息系统（如Lis系统）做接口产生的相关费用。</w:t>
      </w:r>
    </w:p>
    <w:p>
      <w:pPr>
        <w:pStyle w:val="3"/>
        <w:spacing w:line="400" w:lineRule="exact"/>
        <w:ind w:firstLine="480"/>
        <w:rPr>
          <w:rFonts w:ascii="宋体"/>
          <w:color w:val="000000"/>
          <w:sz w:val="24"/>
        </w:rPr>
      </w:pPr>
      <w:r>
        <w:rPr>
          <w:rFonts w:hint="eastAsia" w:ascii="宋体"/>
          <w:color w:val="000000"/>
          <w:sz w:val="24"/>
        </w:rPr>
        <w:t>3）检验仪器性能要求：</w:t>
      </w:r>
    </w:p>
    <w:p>
      <w:pPr>
        <w:pStyle w:val="3"/>
        <w:spacing w:line="400" w:lineRule="exact"/>
        <w:ind w:firstLine="480"/>
        <w:rPr>
          <w:rFonts w:ascii="宋体"/>
          <w:color w:val="000000"/>
          <w:sz w:val="24"/>
        </w:rPr>
      </w:pPr>
      <w:r>
        <w:rPr>
          <w:rFonts w:hint="eastAsia" w:ascii="宋体"/>
          <w:color w:val="000000"/>
          <w:sz w:val="24"/>
        </w:rPr>
        <w:t>3.1 仪器自动判读鉴定药敏试验结果，支持人工肉眼判读结果或复核。</w:t>
      </w:r>
    </w:p>
    <w:p>
      <w:pPr>
        <w:pStyle w:val="3"/>
        <w:spacing w:line="400" w:lineRule="exact"/>
        <w:ind w:firstLine="480"/>
        <w:rPr>
          <w:rFonts w:ascii="宋体"/>
          <w:color w:val="000000"/>
          <w:sz w:val="24"/>
        </w:rPr>
      </w:pPr>
      <w:r>
        <w:rPr>
          <w:rFonts w:hint="eastAsia" w:ascii="宋体"/>
          <w:color w:val="000000"/>
          <w:sz w:val="24"/>
        </w:rPr>
        <w:t>3.2 全中文细菌鉴定分析管理系统，符合国内临床工作者的使用习惯。</w:t>
      </w:r>
    </w:p>
    <w:p>
      <w:pPr>
        <w:pStyle w:val="3"/>
        <w:spacing w:line="400" w:lineRule="exact"/>
        <w:ind w:firstLine="480"/>
        <w:rPr>
          <w:rFonts w:ascii="宋体"/>
          <w:color w:val="000000"/>
          <w:sz w:val="24"/>
        </w:rPr>
      </w:pPr>
      <w:r>
        <w:rPr>
          <w:rFonts w:hint="eastAsia" w:ascii="宋体"/>
          <w:color w:val="000000"/>
          <w:sz w:val="24"/>
        </w:rPr>
        <w:t>3.3 支持与LIS系统的双向交互，方便处理数据。</w:t>
      </w:r>
    </w:p>
    <w:p>
      <w:pPr>
        <w:pStyle w:val="3"/>
        <w:spacing w:line="400" w:lineRule="exact"/>
        <w:ind w:firstLine="480"/>
        <w:rPr>
          <w:rFonts w:ascii="宋体"/>
          <w:color w:val="000000"/>
          <w:sz w:val="24"/>
        </w:rPr>
      </w:pPr>
      <w:r>
        <w:rPr>
          <w:rFonts w:hint="eastAsia" w:ascii="宋体"/>
          <w:color w:val="000000"/>
          <w:sz w:val="24"/>
        </w:rPr>
        <w:t>3.4 细菌鉴定与药敏数据可与WHONET系统共享数据。</w:t>
      </w:r>
    </w:p>
    <w:p>
      <w:pPr>
        <w:pStyle w:val="3"/>
        <w:spacing w:line="400" w:lineRule="exact"/>
        <w:ind w:firstLine="480"/>
        <w:rPr>
          <w:rFonts w:ascii="宋体"/>
          <w:color w:val="000000"/>
          <w:sz w:val="24"/>
        </w:rPr>
      </w:pPr>
      <w:r>
        <w:rPr>
          <w:rFonts w:hint="eastAsia" w:ascii="宋体"/>
          <w:color w:val="000000"/>
          <w:sz w:val="24"/>
        </w:rPr>
        <w:t>3.5 专家系统对异常的检测结果报警并提供解释和进一步操作的提示。</w:t>
      </w:r>
    </w:p>
    <w:p>
      <w:pPr>
        <w:pStyle w:val="3"/>
        <w:spacing w:line="400" w:lineRule="exact"/>
        <w:ind w:firstLine="480"/>
        <w:rPr>
          <w:rFonts w:ascii="宋体"/>
          <w:color w:val="000000"/>
          <w:sz w:val="24"/>
        </w:rPr>
      </w:pPr>
      <w:r>
        <w:rPr>
          <w:rFonts w:hint="eastAsia" w:ascii="宋体"/>
          <w:color w:val="000000"/>
          <w:sz w:val="24"/>
        </w:rPr>
        <w:t>3.6根据新版CLSI标准进行药敏分析MIC，能够报告MIC和S、I、R敏感度。</w:t>
      </w:r>
    </w:p>
    <w:p>
      <w:pPr>
        <w:pStyle w:val="3"/>
        <w:spacing w:line="400" w:lineRule="exact"/>
        <w:ind w:firstLine="482"/>
        <w:rPr>
          <w:rFonts w:ascii="宋体"/>
          <w:color w:val="000000"/>
          <w:sz w:val="24"/>
        </w:rPr>
      </w:pPr>
      <w:r>
        <w:rPr>
          <w:rFonts w:hint="eastAsia" w:ascii="宋体" w:hAnsi="宋体" w:cs="仿宋"/>
          <w:b/>
          <w:bCs/>
          <w:sz w:val="24"/>
        </w:rPr>
        <w:t>（四）商务要求：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w:t>
      </w:r>
    </w:p>
    <w:p>
      <w:pPr>
        <w:pStyle w:val="3"/>
        <w:spacing w:line="400" w:lineRule="exact"/>
        <w:ind w:firstLine="482"/>
        <w:rPr>
          <w:rFonts w:ascii="宋体"/>
          <w:color w:val="000000"/>
          <w:sz w:val="24"/>
        </w:rPr>
      </w:pPr>
      <w:r>
        <w:rPr>
          <w:rFonts w:hint="eastAsia" w:ascii="宋体"/>
          <w:b/>
          <w:bCs/>
          <w:color w:val="000000"/>
          <w:sz w:val="24"/>
        </w:rPr>
        <w:t>3.1供应商应对完成检测项目及其配套设备运行所需所有的辅助试剂和耗材进行报价和数量预估。</w:t>
      </w:r>
    </w:p>
    <w:p>
      <w:pPr>
        <w:pStyle w:val="3"/>
        <w:spacing w:line="400" w:lineRule="exact"/>
        <w:ind w:firstLine="480"/>
        <w:rPr>
          <w:rFonts w:ascii="宋体"/>
          <w:color w:val="000000"/>
          <w:sz w:val="24"/>
        </w:rPr>
      </w:pPr>
      <w:r>
        <w:rPr>
          <w:rFonts w:hint="eastAsia" w:ascii="宋体"/>
          <w:color w:val="000000"/>
          <w:sz w:val="24"/>
        </w:rPr>
        <w:t>3.2原则上所有投标产品报价不得高于四川省内其他地市中标价格或医疗机构近两年的历史最低价。（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hint="eastAsia"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ascii="宋体"/>
          <w:color w:val="000000"/>
          <w:sz w:val="24"/>
          <w:lang w:val="en-US" w:eastAsia="zh-CN"/>
        </w:rPr>
      </w:pPr>
      <w:r>
        <w:rPr>
          <w:rFonts w:hint="eastAsia" w:ascii="宋体"/>
          <w:color w:val="000000"/>
          <w:sz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eastAsia" w:ascii="宋体"/>
          <w:color w:val="000000"/>
          <w:sz w:val="24"/>
          <w:lang w:val="en-US" w:eastAsia="zh-CN"/>
        </w:rPr>
      </w:pPr>
    </w:p>
    <w:p>
      <w:pPr>
        <w:pStyle w:val="3"/>
        <w:spacing w:line="400" w:lineRule="exact"/>
        <w:ind w:firstLine="480"/>
        <w:rPr>
          <w:rFonts w:hint="eastAsia" w:ascii="宋体"/>
          <w:color w:val="000000"/>
          <w:sz w:val="24"/>
        </w:rPr>
      </w:pPr>
      <w:r>
        <w:rPr>
          <w:rFonts w:hint="eastAsia" w:ascii="宋体"/>
          <w:color w:val="000000"/>
          <w:sz w:val="24"/>
        </w:rPr>
        <w:br w:type="page"/>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bCs/>
          <w:color w:val="333333"/>
          <w:kern w:val="0"/>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hint="eastAsia"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8"/>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4、如有多种规格，请按每种规格分别报价。</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jc w:val="left"/>
        <w:rPr>
          <w:rFonts w:ascii="仿宋_GB2312" w:hAnsi="Segoe UI" w:eastAsia="仿宋_GB2312" w:cs="Segoe UI"/>
          <w:color w:val="000000" w:themeColor="text1"/>
          <w:kern w:val="0"/>
          <w:sz w:val="24"/>
          <w:szCs w:val="24"/>
        </w:rPr>
      </w:pPr>
      <w:r>
        <w:rPr>
          <w:rFonts w:ascii="仿宋_GB2312" w:hAnsi="Segoe UI" w:eastAsia="仿宋_GB2312" w:cs="Segoe UI"/>
          <w:color w:val="000000" w:themeColor="text1"/>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w:t>
      </w:r>
      <w:bookmarkStart w:id="1" w:name="_GoBack"/>
      <w:bookmarkEnd w:id="1"/>
      <w:r>
        <w:rPr>
          <w:rFonts w:hint="eastAsia" w:ascii="仿宋_GB2312" w:hAnsi="仿宋_GB2312" w:eastAsia="仿宋_GB2312" w:cs="仿宋_GB2312"/>
          <w:sz w:val="28"/>
          <w:szCs w:val="28"/>
          <w:lang w:val="en-US" w:eastAsia="zh-CN"/>
        </w:rPr>
        <w:t>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pPr>
        <w:rPr>
          <w:rFonts w:ascii="微软雅黑" w:hAnsi="微软雅黑" w:eastAsia="微软雅黑"/>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A6462"/>
    <w:rsid w:val="34BD0A25"/>
    <w:rsid w:val="440A651B"/>
    <w:rsid w:val="47CB3CB6"/>
    <w:rsid w:val="4C2F3C73"/>
    <w:rsid w:val="598F0681"/>
    <w:rsid w:val="5E0B7A06"/>
    <w:rsid w:val="5EE457B5"/>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semiHidden/>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0</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2022-06-17T06:57:55Z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