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40"/>
          <w:szCs w:val="44"/>
        </w:rPr>
      </w:pPr>
      <w:r>
        <w:rPr>
          <w:rFonts w:hint="eastAsia"/>
          <w:sz w:val="40"/>
          <w:szCs w:val="44"/>
        </w:rPr>
        <w:t>四川省妇幼保健院（四川省儿童医学中心）</w:t>
      </w:r>
    </w:p>
    <w:p>
      <w:pPr>
        <w:jc w:val="center"/>
        <w:outlineLvl w:val="0"/>
        <w:rPr>
          <w:sz w:val="40"/>
          <w:szCs w:val="44"/>
        </w:rPr>
      </w:pPr>
      <w:r>
        <w:rPr>
          <w:rFonts w:hint="eastAsia"/>
          <w:sz w:val="40"/>
          <w:szCs w:val="44"/>
        </w:rPr>
        <w:t>天府院区计算机网络</w:t>
      </w:r>
      <w:r>
        <w:rPr>
          <w:sz w:val="40"/>
          <w:szCs w:val="44"/>
        </w:rPr>
        <w:t>市场调研文件</w:t>
      </w:r>
    </w:p>
    <w:p>
      <w:pPr>
        <w:rPr>
          <w:sz w:val="24"/>
          <w:szCs w:val="24"/>
        </w:rPr>
      </w:pPr>
    </w:p>
    <w:p>
      <w:pPr>
        <w:pStyle w:val="7"/>
        <w:numPr>
          <w:ilvl w:val="0"/>
          <w:numId w:val="1"/>
        </w:numPr>
        <w:ind w:firstLineChars="0"/>
        <w:outlineLvl w:val="0"/>
        <w:rPr>
          <w:b/>
          <w:sz w:val="24"/>
          <w:szCs w:val="24"/>
        </w:rPr>
      </w:pPr>
      <w:r>
        <w:rPr>
          <w:rFonts w:hint="eastAsia"/>
          <w:b/>
          <w:sz w:val="24"/>
          <w:szCs w:val="24"/>
        </w:rPr>
        <w:t>现状描述</w:t>
      </w:r>
    </w:p>
    <w:p>
      <w:pPr>
        <w:rPr>
          <w:sz w:val="24"/>
          <w:szCs w:val="24"/>
        </w:rPr>
      </w:pPr>
    </w:p>
    <w:p>
      <w:pPr>
        <w:spacing w:line="360" w:lineRule="auto"/>
        <w:ind w:left="420" w:firstLine="420"/>
        <w:rPr>
          <w:sz w:val="24"/>
          <w:szCs w:val="24"/>
        </w:rPr>
      </w:pPr>
      <w:r>
        <w:rPr>
          <w:rFonts w:hint="eastAsia"/>
          <w:sz w:val="24"/>
          <w:szCs w:val="24"/>
        </w:rPr>
        <w:t>四川省妇幼保健院（四川省儿童医学中心）天府院区一期工程建设项目按照国家和省相关发展规划建设，是四川省“十三五”时期重点建设的省级医疗卫生项目。天府院区全面建成后，医院建设规模可达20万平方米，床位可达1400张。根据医院总体规划，天府院区作为主院区，将全面提供妇女儿童医疗保健服务，主要保障对危急重</w:t>
      </w:r>
      <w:bookmarkStart w:id="0" w:name="_GoBack"/>
      <w:bookmarkEnd w:id="0"/>
      <w:r>
        <w:rPr>
          <w:rFonts w:hint="eastAsia"/>
          <w:sz w:val="24"/>
          <w:szCs w:val="24"/>
        </w:rPr>
        <w:t>症的救治能力。</w:t>
      </w:r>
    </w:p>
    <w:p>
      <w:pPr>
        <w:spacing w:line="360" w:lineRule="auto"/>
        <w:ind w:left="420" w:firstLine="420"/>
        <w:rPr>
          <w:sz w:val="24"/>
          <w:szCs w:val="24"/>
        </w:rPr>
      </w:pPr>
      <w:r>
        <w:rPr>
          <w:rFonts w:hint="eastAsia"/>
          <w:sz w:val="24"/>
          <w:szCs w:val="24"/>
        </w:rPr>
        <w:t>未来我院另外两个院区未来也将把部分重要功能逐步向天府院区转移。其中，晋阳院区将作为主城区分院，为主管部门提供决策咨询服务，为主城区群众提供部分医疗保健服务，原则上疑难危重症集中转运到天府院区。抚琴院区则将主要用于科研和科技成果转化功能，而将科研教学功能转移至天府院区。</w:t>
      </w:r>
    </w:p>
    <w:p>
      <w:pPr>
        <w:spacing w:line="360" w:lineRule="auto"/>
        <w:ind w:left="420" w:firstLine="420"/>
        <w:rPr>
          <w:sz w:val="24"/>
          <w:szCs w:val="24"/>
        </w:rPr>
      </w:pPr>
      <w:r>
        <w:rPr>
          <w:rFonts w:hint="eastAsia"/>
          <w:sz w:val="24"/>
          <w:szCs w:val="24"/>
        </w:rPr>
        <w:t>届时，天府院区建成投用，将成为“国内一流、西部前列”妇幼保健机构与西南区域妇女儿童医学中心，满足实施全面二孩政策背景下日益增长的妇幼保健和儿童医疗服务需求，提升全省妇幼疑难病症、急诊急救、医疗保健等服务能力，为四川乃至西南人民提供更加优质高效的服务。</w:t>
      </w:r>
    </w:p>
    <w:p>
      <w:pPr>
        <w:spacing w:line="360" w:lineRule="auto"/>
        <w:ind w:left="420" w:firstLine="420"/>
        <w:rPr>
          <w:sz w:val="24"/>
          <w:szCs w:val="24"/>
        </w:rPr>
      </w:pPr>
      <w:r>
        <w:rPr>
          <w:sz w:val="24"/>
          <w:szCs w:val="24"/>
        </w:rPr>
        <w:t>为满足项目建设要求</w:t>
      </w:r>
      <w:r>
        <w:rPr>
          <w:rFonts w:hint="eastAsia"/>
          <w:sz w:val="24"/>
          <w:szCs w:val="24"/>
        </w:rPr>
        <w:t>，</w:t>
      </w:r>
      <w:r>
        <w:rPr>
          <w:sz w:val="24"/>
          <w:szCs w:val="24"/>
        </w:rPr>
        <w:t>并于今年</w:t>
      </w:r>
      <w:r>
        <w:rPr>
          <w:rFonts w:hint="eastAsia"/>
          <w:sz w:val="24"/>
          <w:szCs w:val="24"/>
        </w:rPr>
        <w:t>9月达到使用条件，拟针对我院当前核心医疗网络构建进行市场调研工作。</w:t>
      </w:r>
    </w:p>
    <w:p>
      <w:pPr>
        <w:spacing w:line="360" w:lineRule="auto"/>
        <w:ind w:left="420" w:firstLine="420"/>
        <w:rPr>
          <w:sz w:val="24"/>
          <w:szCs w:val="24"/>
        </w:rPr>
      </w:pPr>
    </w:p>
    <w:p>
      <w:pPr>
        <w:pStyle w:val="7"/>
        <w:numPr>
          <w:ilvl w:val="0"/>
          <w:numId w:val="1"/>
        </w:numPr>
        <w:ind w:firstLineChars="0"/>
        <w:outlineLvl w:val="0"/>
        <w:rPr>
          <w:b/>
          <w:sz w:val="24"/>
          <w:szCs w:val="24"/>
        </w:rPr>
      </w:pPr>
      <w:r>
        <w:rPr>
          <w:rFonts w:hint="eastAsia"/>
          <w:b/>
          <w:sz w:val="24"/>
          <w:szCs w:val="24"/>
        </w:rPr>
        <w:t>调研内容</w:t>
      </w:r>
    </w:p>
    <w:p>
      <w:pPr>
        <w:pStyle w:val="7"/>
        <w:ind w:left="480" w:firstLine="0" w:firstLineChars="0"/>
        <w:rPr>
          <w:sz w:val="24"/>
          <w:szCs w:val="24"/>
        </w:rPr>
      </w:pPr>
    </w:p>
    <w:p>
      <w:pPr>
        <w:pStyle w:val="7"/>
        <w:spacing w:line="360" w:lineRule="auto"/>
        <w:ind w:left="480" w:firstLine="360" w:firstLineChars="0"/>
        <w:rPr>
          <w:sz w:val="24"/>
          <w:szCs w:val="24"/>
        </w:rPr>
      </w:pPr>
      <w:r>
        <w:rPr>
          <w:rFonts w:hint="eastAsia"/>
          <w:sz w:val="24"/>
          <w:szCs w:val="24"/>
        </w:rPr>
        <w:t>基于打造新一代医疗核心业务骨干网络，需承载相关核心医疗业务。包括但不仅限于如下业务的稳定高效支持：HIS、LIS、PACS、智慧医疗业务、互联互通业务、电子病历、5G移动诊疗、手术麻醉业务、新生儿看护、智慧病房等先关联我院核心诊疗系统。</w:t>
      </w:r>
    </w:p>
    <w:p>
      <w:pPr>
        <w:pStyle w:val="7"/>
        <w:spacing w:line="360" w:lineRule="auto"/>
        <w:ind w:left="480" w:firstLine="360" w:firstLineChars="0"/>
        <w:rPr>
          <w:sz w:val="24"/>
          <w:szCs w:val="24"/>
        </w:rPr>
      </w:pPr>
    </w:p>
    <w:p>
      <w:pPr>
        <w:pStyle w:val="7"/>
        <w:spacing w:line="360" w:lineRule="auto"/>
        <w:ind w:left="480" w:firstLine="360" w:firstLineChars="0"/>
        <w:rPr>
          <w:sz w:val="24"/>
          <w:szCs w:val="24"/>
        </w:rPr>
      </w:pPr>
      <w:r>
        <w:rPr>
          <w:rFonts w:hint="eastAsia"/>
          <w:sz w:val="24"/>
          <w:szCs w:val="24"/>
        </w:rPr>
        <w:t>所需网络构建调研内容如下：</w:t>
      </w:r>
    </w:p>
    <w:tbl>
      <w:tblPr>
        <w:tblStyle w:val="5"/>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396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 w:val="24"/>
                <w:szCs w:val="24"/>
              </w:rPr>
            </w:pPr>
            <w:r>
              <w:rPr>
                <w:rFonts w:hint="eastAsia"/>
                <w:sz w:val="24"/>
                <w:szCs w:val="24"/>
              </w:rPr>
              <w:t>序号</w:t>
            </w:r>
          </w:p>
        </w:tc>
        <w:tc>
          <w:tcPr>
            <w:tcW w:w="2977" w:type="dxa"/>
          </w:tcPr>
          <w:p>
            <w:pPr>
              <w:spacing w:line="360" w:lineRule="auto"/>
              <w:jc w:val="center"/>
              <w:rPr>
                <w:sz w:val="24"/>
                <w:szCs w:val="24"/>
              </w:rPr>
            </w:pPr>
            <w:r>
              <w:rPr>
                <w:rFonts w:hint="eastAsia"/>
                <w:sz w:val="24"/>
                <w:szCs w:val="24"/>
              </w:rPr>
              <w:t>项目名称</w:t>
            </w:r>
          </w:p>
        </w:tc>
        <w:tc>
          <w:tcPr>
            <w:tcW w:w="3969" w:type="dxa"/>
          </w:tcPr>
          <w:p>
            <w:pPr>
              <w:spacing w:line="360" w:lineRule="auto"/>
              <w:jc w:val="center"/>
              <w:rPr>
                <w:sz w:val="24"/>
                <w:szCs w:val="24"/>
              </w:rPr>
            </w:pPr>
            <w:r>
              <w:rPr>
                <w:rFonts w:hint="eastAsia"/>
                <w:sz w:val="24"/>
                <w:szCs w:val="24"/>
              </w:rPr>
              <w:t>项目要求</w:t>
            </w:r>
          </w:p>
        </w:tc>
        <w:tc>
          <w:tcPr>
            <w:tcW w:w="709" w:type="dxa"/>
          </w:tcPr>
          <w:p>
            <w:pPr>
              <w:spacing w:line="360" w:lineRule="auto"/>
              <w:jc w:val="center"/>
              <w:rPr>
                <w:sz w:val="24"/>
                <w:szCs w:val="24"/>
              </w:rPr>
            </w:pPr>
            <w:r>
              <w:rPr>
                <w:rFonts w:hint="eastAsia"/>
                <w:sz w:val="24"/>
                <w:szCs w:val="24"/>
              </w:rPr>
              <w:t>数量</w:t>
            </w:r>
          </w:p>
        </w:tc>
        <w:tc>
          <w:tcPr>
            <w:tcW w:w="709" w:type="dxa"/>
          </w:tcPr>
          <w:p>
            <w:pPr>
              <w:spacing w:line="360" w:lineRule="auto"/>
              <w:jc w:val="center"/>
              <w:rPr>
                <w:sz w:val="24"/>
                <w:szCs w:val="24"/>
              </w:rPr>
            </w:pPr>
            <w:r>
              <w:rPr>
                <w:rFonts w:hint="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sz w:val="24"/>
                <w:szCs w:val="24"/>
              </w:rPr>
            </w:pPr>
            <w:r>
              <w:rPr>
                <w:rFonts w:hint="eastAsia"/>
                <w:sz w:val="24"/>
                <w:szCs w:val="24"/>
              </w:rPr>
              <w:t>1</w:t>
            </w:r>
          </w:p>
        </w:tc>
        <w:tc>
          <w:tcPr>
            <w:tcW w:w="2977" w:type="dxa"/>
            <w:vAlign w:val="center"/>
          </w:tcPr>
          <w:p>
            <w:pPr>
              <w:spacing w:line="360" w:lineRule="auto"/>
              <w:rPr>
                <w:sz w:val="24"/>
                <w:szCs w:val="24"/>
              </w:rPr>
            </w:pPr>
            <w:r>
              <w:rPr>
                <w:rFonts w:hint="eastAsia"/>
                <w:sz w:val="24"/>
                <w:szCs w:val="24"/>
              </w:rPr>
              <w:t>核心网络节点</w:t>
            </w:r>
          </w:p>
        </w:tc>
        <w:tc>
          <w:tcPr>
            <w:tcW w:w="3969" w:type="dxa"/>
            <w:vAlign w:val="center"/>
          </w:tcPr>
          <w:p>
            <w:pPr>
              <w:pStyle w:val="7"/>
              <w:numPr>
                <w:ilvl w:val="0"/>
                <w:numId w:val="2"/>
              </w:numPr>
              <w:spacing w:line="360" w:lineRule="auto"/>
              <w:ind w:firstLineChars="0"/>
              <w:rPr>
                <w:sz w:val="24"/>
                <w:szCs w:val="24"/>
              </w:rPr>
            </w:pPr>
            <w:r>
              <w:rPr>
                <w:rFonts w:hint="eastAsia"/>
                <w:sz w:val="24"/>
                <w:szCs w:val="24"/>
              </w:rPr>
              <w:t>支持</w:t>
            </w:r>
            <w:r>
              <w:rPr>
                <w:sz w:val="24"/>
                <w:szCs w:val="24"/>
              </w:rPr>
              <w:t>600T以上交换容量</w:t>
            </w:r>
          </w:p>
          <w:p>
            <w:pPr>
              <w:pStyle w:val="7"/>
              <w:numPr>
                <w:ilvl w:val="0"/>
                <w:numId w:val="2"/>
              </w:numPr>
              <w:spacing w:line="360" w:lineRule="auto"/>
              <w:ind w:firstLineChars="0"/>
              <w:rPr>
                <w:sz w:val="24"/>
                <w:szCs w:val="24"/>
              </w:rPr>
            </w:pPr>
            <w:r>
              <w:rPr>
                <w:rFonts w:hint="eastAsia"/>
                <w:sz w:val="24"/>
                <w:szCs w:val="24"/>
              </w:rPr>
              <w:t>2</w:t>
            </w:r>
            <w:r>
              <w:rPr>
                <w:sz w:val="24"/>
                <w:szCs w:val="24"/>
              </w:rPr>
              <w:t>0万M以上包转发率</w:t>
            </w:r>
          </w:p>
          <w:p>
            <w:pPr>
              <w:pStyle w:val="7"/>
              <w:numPr>
                <w:ilvl w:val="0"/>
                <w:numId w:val="2"/>
              </w:numPr>
              <w:spacing w:line="360" w:lineRule="auto"/>
              <w:ind w:firstLineChars="0"/>
              <w:rPr>
                <w:sz w:val="24"/>
                <w:szCs w:val="24"/>
              </w:rPr>
            </w:pPr>
            <w:r>
              <w:rPr>
                <w:rFonts w:hint="eastAsia"/>
                <w:sz w:val="24"/>
                <w:szCs w:val="24"/>
              </w:rPr>
              <w:t>正交C</w:t>
            </w:r>
            <w:r>
              <w:rPr>
                <w:sz w:val="24"/>
                <w:szCs w:val="24"/>
              </w:rPr>
              <w:t>LOS</w:t>
            </w:r>
            <w:r>
              <w:rPr>
                <w:rFonts w:hint="eastAsia"/>
                <w:sz w:val="24"/>
                <w:szCs w:val="24"/>
              </w:rPr>
              <w:t>无中板架构</w:t>
            </w:r>
          </w:p>
          <w:p>
            <w:pPr>
              <w:pStyle w:val="7"/>
              <w:numPr>
                <w:ilvl w:val="0"/>
                <w:numId w:val="2"/>
              </w:numPr>
              <w:spacing w:line="360" w:lineRule="auto"/>
              <w:ind w:firstLineChars="0"/>
              <w:rPr>
                <w:sz w:val="24"/>
                <w:szCs w:val="24"/>
              </w:rPr>
            </w:pPr>
            <w:r>
              <w:rPr>
                <w:sz w:val="24"/>
                <w:szCs w:val="24"/>
              </w:rPr>
              <w:t>支持双主控</w:t>
            </w:r>
            <w:r>
              <w:rPr>
                <w:rFonts w:hint="eastAsia"/>
                <w:sz w:val="24"/>
                <w:szCs w:val="24"/>
              </w:rPr>
              <w:t>、</w:t>
            </w:r>
            <w:r>
              <w:rPr>
                <w:sz w:val="24"/>
                <w:szCs w:val="24"/>
              </w:rPr>
              <w:t>多交换业务网板</w:t>
            </w:r>
          </w:p>
          <w:p>
            <w:pPr>
              <w:pStyle w:val="7"/>
              <w:numPr>
                <w:ilvl w:val="0"/>
                <w:numId w:val="2"/>
              </w:numPr>
              <w:spacing w:line="360" w:lineRule="auto"/>
              <w:ind w:firstLineChars="0"/>
              <w:rPr>
                <w:sz w:val="24"/>
                <w:szCs w:val="24"/>
              </w:rPr>
            </w:pPr>
            <w:r>
              <w:rPr>
                <w:sz w:val="24"/>
                <w:szCs w:val="24"/>
              </w:rPr>
              <w:t>支持多电源多风扇冗余</w:t>
            </w:r>
          </w:p>
          <w:p>
            <w:pPr>
              <w:pStyle w:val="7"/>
              <w:numPr>
                <w:ilvl w:val="0"/>
                <w:numId w:val="2"/>
              </w:numPr>
              <w:spacing w:line="360" w:lineRule="auto"/>
              <w:ind w:firstLineChars="0"/>
              <w:rPr>
                <w:sz w:val="24"/>
                <w:szCs w:val="24"/>
              </w:rPr>
            </w:pPr>
            <w:r>
              <w:rPr>
                <w:rFonts w:hint="eastAsia"/>
                <w:sz w:val="24"/>
                <w:szCs w:val="24"/>
              </w:rPr>
              <w:t>支持丰富路由管理、网络交换特性</w:t>
            </w:r>
          </w:p>
          <w:p>
            <w:pPr>
              <w:pStyle w:val="7"/>
              <w:numPr>
                <w:ilvl w:val="0"/>
                <w:numId w:val="2"/>
              </w:numPr>
              <w:spacing w:line="360" w:lineRule="auto"/>
              <w:ind w:firstLineChars="0"/>
              <w:rPr>
                <w:sz w:val="24"/>
                <w:szCs w:val="24"/>
              </w:rPr>
            </w:pPr>
            <w:r>
              <w:rPr>
                <w:sz w:val="24"/>
                <w:szCs w:val="24"/>
              </w:rPr>
              <w:t>支持丰富的业务管理特性</w:t>
            </w:r>
            <w:r>
              <w:rPr>
                <w:rFonts w:hint="eastAsia"/>
                <w:sz w:val="24"/>
                <w:szCs w:val="24"/>
              </w:rPr>
              <w:t>：</w:t>
            </w:r>
            <w:r>
              <w:rPr>
                <w:sz w:val="24"/>
                <w:szCs w:val="24"/>
              </w:rPr>
              <w:t>包括安全插卡</w:t>
            </w:r>
            <w:r>
              <w:rPr>
                <w:rFonts w:hint="eastAsia"/>
                <w:sz w:val="24"/>
                <w:szCs w:val="24"/>
              </w:rPr>
              <w:t>、</w:t>
            </w:r>
            <w:r>
              <w:rPr>
                <w:sz w:val="24"/>
                <w:szCs w:val="24"/>
              </w:rPr>
              <w:t>无线管理功能</w:t>
            </w:r>
            <w:r>
              <w:rPr>
                <w:rFonts w:hint="eastAsia"/>
                <w:sz w:val="24"/>
                <w:szCs w:val="24"/>
              </w:rPr>
              <w:t>、</w:t>
            </w:r>
            <w:r>
              <w:rPr>
                <w:sz w:val="24"/>
                <w:szCs w:val="24"/>
              </w:rPr>
              <w:t>流量插卡管理等相关特性</w:t>
            </w:r>
          </w:p>
          <w:p>
            <w:pPr>
              <w:pStyle w:val="7"/>
              <w:numPr>
                <w:ilvl w:val="0"/>
                <w:numId w:val="2"/>
              </w:numPr>
              <w:spacing w:line="360" w:lineRule="auto"/>
              <w:ind w:firstLineChars="0"/>
              <w:rPr>
                <w:sz w:val="24"/>
                <w:szCs w:val="24"/>
              </w:rPr>
            </w:pPr>
            <w:r>
              <w:rPr>
                <w:sz w:val="24"/>
                <w:szCs w:val="24"/>
              </w:rPr>
              <w:t>支持丰富接口类型</w:t>
            </w:r>
            <w:r>
              <w:rPr>
                <w:rFonts w:hint="eastAsia"/>
                <w:sz w:val="24"/>
                <w:szCs w:val="24"/>
              </w:rPr>
              <w:t>：</w:t>
            </w:r>
            <w:r>
              <w:rPr>
                <w:sz w:val="24"/>
                <w:szCs w:val="24"/>
              </w:rPr>
              <w:t>400G</w:t>
            </w:r>
            <w:r>
              <w:rPr>
                <w:rFonts w:hint="eastAsia"/>
                <w:sz w:val="24"/>
                <w:szCs w:val="24"/>
              </w:rPr>
              <w:t>、1</w:t>
            </w:r>
            <w:r>
              <w:rPr>
                <w:sz w:val="24"/>
                <w:szCs w:val="24"/>
              </w:rPr>
              <w:t>00G</w:t>
            </w:r>
            <w:r>
              <w:rPr>
                <w:rFonts w:hint="eastAsia"/>
                <w:sz w:val="24"/>
                <w:szCs w:val="24"/>
              </w:rPr>
              <w:t>、4</w:t>
            </w:r>
            <w:r>
              <w:rPr>
                <w:sz w:val="24"/>
                <w:szCs w:val="24"/>
              </w:rPr>
              <w:t>0G</w:t>
            </w:r>
            <w:r>
              <w:rPr>
                <w:rFonts w:hint="eastAsia"/>
                <w:sz w:val="24"/>
                <w:szCs w:val="24"/>
              </w:rPr>
              <w:t>、2</w:t>
            </w:r>
            <w:r>
              <w:rPr>
                <w:sz w:val="24"/>
                <w:szCs w:val="24"/>
              </w:rPr>
              <w:t>5G</w:t>
            </w:r>
            <w:r>
              <w:rPr>
                <w:rFonts w:hint="eastAsia"/>
                <w:sz w:val="24"/>
                <w:szCs w:val="24"/>
              </w:rPr>
              <w:t>、1</w:t>
            </w:r>
            <w:r>
              <w:rPr>
                <w:sz w:val="24"/>
                <w:szCs w:val="24"/>
              </w:rPr>
              <w:t>0G</w:t>
            </w:r>
            <w:r>
              <w:rPr>
                <w:rFonts w:hint="eastAsia"/>
                <w:sz w:val="24"/>
                <w:szCs w:val="24"/>
              </w:rPr>
              <w:t>光接口，1</w:t>
            </w:r>
            <w:r>
              <w:rPr>
                <w:sz w:val="24"/>
                <w:szCs w:val="24"/>
              </w:rPr>
              <w:t>0G</w:t>
            </w:r>
            <w:r>
              <w:rPr>
                <w:rFonts w:hint="eastAsia"/>
                <w:sz w:val="24"/>
                <w:szCs w:val="24"/>
              </w:rPr>
              <w:t>、1G电接口</w:t>
            </w:r>
          </w:p>
        </w:tc>
        <w:tc>
          <w:tcPr>
            <w:tcW w:w="709" w:type="dxa"/>
            <w:vAlign w:val="center"/>
          </w:tcPr>
          <w:p>
            <w:pPr>
              <w:spacing w:line="360" w:lineRule="auto"/>
              <w:rPr>
                <w:sz w:val="24"/>
                <w:szCs w:val="24"/>
              </w:rPr>
            </w:pPr>
            <w:r>
              <w:rPr>
                <w:rFonts w:hint="eastAsia"/>
                <w:sz w:val="24"/>
                <w:szCs w:val="24"/>
              </w:rPr>
              <w:t>2</w:t>
            </w:r>
          </w:p>
        </w:tc>
        <w:tc>
          <w:tcPr>
            <w:tcW w:w="709" w:type="dxa"/>
            <w:vAlign w:val="center"/>
          </w:tcPr>
          <w:p>
            <w:pPr>
              <w:spacing w:line="360" w:lineRule="auto"/>
              <w:rPr>
                <w:sz w:val="24"/>
                <w:szCs w:val="24"/>
              </w:rPr>
            </w:pP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sz w:val="24"/>
                <w:szCs w:val="24"/>
              </w:rPr>
            </w:pPr>
            <w:r>
              <w:rPr>
                <w:rFonts w:hint="eastAsia"/>
                <w:sz w:val="24"/>
                <w:szCs w:val="24"/>
              </w:rPr>
              <w:t>2</w:t>
            </w:r>
          </w:p>
        </w:tc>
        <w:tc>
          <w:tcPr>
            <w:tcW w:w="2977" w:type="dxa"/>
            <w:vAlign w:val="center"/>
          </w:tcPr>
          <w:p>
            <w:pPr>
              <w:spacing w:line="360" w:lineRule="auto"/>
              <w:rPr>
                <w:sz w:val="24"/>
                <w:szCs w:val="24"/>
              </w:rPr>
            </w:pPr>
            <w:r>
              <w:rPr>
                <w:rFonts w:hint="eastAsia"/>
                <w:sz w:val="24"/>
                <w:szCs w:val="24"/>
              </w:rPr>
              <w:t>关键网络节点</w:t>
            </w:r>
          </w:p>
        </w:tc>
        <w:tc>
          <w:tcPr>
            <w:tcW w:w="3969" w:type="dxa"/>
            <w:vAlign w:val="center"/>
          </w:tcPr>
          <w:p>
            <w:pPr>
              <w:pStyle w:val="7"/>
              <w:numPr>
                <w:ilvl w:val="0"/>
                <w:numId w:val="3"/>
              </w:numPr>
              <w:spacing w:line="360" w:lineRule="auto"/>
              <w:ind w:firstLineChars="0"/>
              <w:rPr>
                <w:sz w:val="24"/>
                <w:szCs w:val="24"/>
              </w:rPr>
            </w:pPr>
            <w:r>
              <w:rPr>
                <w:rFonts w:hint="eastAsia"/>
                <w:sz w:val="24"/>
                <w:szCs w:val="24"/>
              </w:rPr>
              <w:t>支持</w:t>
            </w:r>
            <w:r>
              <w:rPr>
                <w:sz w:val="24"/>
                <w:szCs w:val="24"/>
              </w:rPr>
              <w:t>500G以上交换容量</w:t>
            </w:r>
          </w:p>
          <w:p>
            <w:pPr>
              <w:pStyle w:val="7"/>
              <w:numPr>
                <w:ilvl w:val="0"/>
                <w:numId w:val="3"/>
              </w:numPr>
              <w:spacing w:line="360" w:lineRule="auto"/>
              <w:ind w:firstLineChars="0"/>
              <w:rPr>
                <w:sz w:val="24"/>
                <w:szCs w:val="24"/>
              </w:rPr>
            </w:pPr>
            <w:r>
              <w:rPr>
                <w:sz w:val="24"/>
                <w:szCs w:val="24"/>
              </w:rPr>
              <w:t>200 M以上包转发率</w:t>
            </w:r>
          </w:p>
          <w:p>
            <w:pPr>
              <w:pStyle w:val="7"/>
              <w:numPr>
                <w:ilvl w:val="0"/>
                <w:numId w:val="3"/>
              </w:numPr>
              <w:spacing w:line="360" w:lineRule="auto"/>
              <w:ind w:firstLineChars="0"/>
              <w:rPr>
                <w:sz w:val="24"/>
                <w:szCs w:val="24"/>
              </w:rPr>
            </w:pPr>
            <w:r>
              <w:rPr>
                <w:sz w:val="24"/>
                <w:szCs w:val="24"/>
              </w:rPr>
              <w:t>支持多电源多风扇冗余</w:t>
            </w:r>
          </w:p>
          <w:p>
            <w:pPr>
              <w:pStyle w:val="7"/>
              <w:numPr>
                <w:ilvl w:val="0"/>
                <w:numId w:val="3"/>
              </w:numPr>
              <w:spacing w:line="360" w:lineRule="auto"/>
              <w:ind w:firstLineChars="0"/>
              <w:rPr>
                <w:sz w:val="24"/>
                <w:szCs w:val="24"/>
              </w:rPr>
            </w:pPr>
            <w:r>
              <w:rPr>
                <w:sz w:val="24"/>
                <w:szCs w:val="24"/>
              </w:rPr>
              <w:t>支持丰富的业务管理特性</w:t>
            </w:r>
            <w:r>
              <w:rPr>
                <w:rFonts w:hint="eastAsia"/>
                <w:sz w:val="24"/>
                <w:szCs w:val="24"/>
              </w:rPr>
              <w:t>：</w:t>
            </w:r>
            <w:r>
              <w:rPr>
                <w:sz w:val="24"/>
                <w:szCs w:val="24"/>
              </w:rPr>
              <w:t>包括安全插卡</w:t>
            </w:r>
            <w:r>
              <w:rPr>
                <w:rFonts w:hint="eastAsia"/>
                <w:sz w:val="24"/>
                <w:szCs w:val="24"/>
              </w:rPr>
              <w:t>、无线电力注入、</w:t>
            </w:r>
            <w:r>
              <w:rPr>
                <w:sz w:val="24"/>
                <w:szCs w:val="24"/>
              </w:rPr>
              <w:t>无线管理功能管理等相关特性</w:t>
            </w:r>
          </w:p>
          <w:p>
            <w:pPr>
              <w:pStyle w:val="7"/>
              <w:numPr>
                <w:ilvl w:val="0"/>
                <w:numId w:val="3"/>
              </w:numPr>
              <w:spacing w:line="360" w:lineRule="auto"/>
              <w:ind w:firstLineChars="0"/>
              <w:rPr>
                <w:sz w:val="24"/>
                <w:szCs w:val="24"/>
              </w:rPr>
            </w:pPr>
            <w:r>
              <w:rPr>
                <w:rFonts w:hint="eastAsia"/>
                <w:sz w:val="24"/>
                <w:szCs w:val="24"/>
              </w:rPr>
              <w:t>支持丰富路由管理、网络交换特性</w:t>
            </w:r>
          </w:p>
          <w:p>
            <w:pPr>
              <w:pStyle w:val="7"/>
              <w:numPr>
                <w:ilvl w:val="0"/>
                <w:numId w:val="3"/>
              </w:numPr>
              <w:spacing w:line="360" w:lineRule="auto"/>
              <w:ind w:firstLineChars="0"/>
              <w:rPr>
                <w:sz w:val="24"/>
                <w:szCs w:val="24"/>
              </w:rPr>
            </w:pPr>
            <w:r>
              <w:rPr>
                <w:sz w:val="24"/>
                <w:szCs w:val="24"/>
              </w:rPr>
              <w:t>支持丰富接口类型</w:t>
            </w:r>
            <w:r>
              <w:rPr>
                <w:rFonts w:hint="eastAsia"/>
                <w:sz w:val="24"/>
                <w:szCs w:val="24"/>
              </w:rPr>
              <w:t>：4</w:t>
            </w:r>
            <w:r>
              <w:rPr>
                <w:sz w:val="24"/>
                <w:szCs w:val="24"/>
              </w:rPr>
              <w:t>0G</w:t>
            </w:r>
            <w:r>
              <w:rPr>
                <w:rFonts w:hint="eastAsia"/>
                <w:sz w:val="24"/>
                <w:szCs w:val="24"/>
              </w:rPr>
              <w:t>、2</w:t>
            </w:r>
            <w:r>
              <w:rPr>
                <w:sz w:val="24"/>
                <w:szCs w:val="24"/>
              </w:rPr>
              <w:t>5G</w:t>
            </w:r>
            <w:r>
              <w:rPr>
                <w:rFonts w:hint="eastAsia"/>
                <w:sz w:val="24"/>
                <w:szCs w:val="24"/>
              </w:rPr>
              <w:t>、1</w:t>
            </w:r>
            <w:r>
              <w:rPr>
                <w:sz w:val="24"/>
                <w:szCs w:val="24"/>
              </w:rPr>
              <w:t>0G、1G</w:t>
            </w:r>
            <w:r>
              <w:rPr>
                <w:rFonts w:hint="eastAsia"/>
                <w:sz w:val="24"/>
                <w:szCs w:val="24"/>
              </w:rPr>
              <w:t>光接口，1</w:t>
            </w:r>
            <w:r>
              <w:rPr>
                <w:sz w:val="24"/>
                <w:szCs w:val="24"/>
              </w:rPr>
              <w:t>0G</w:t>
            </w:r>
            <w:r>
              <w:rPr>
                <w:rFonts w:hint="eastAsia"/>
                <w:sz w:val="24"/>
                <w:szCs w:val="24"/>
              </w:rPr>
              <w:t>、1G电接口</w:t>
            </w:r>
          </w:p>
        </w:tc>
        <w:tc>
          <w:tcPr>
            <w:tcW w:w="709" w:type="dxa"/>
            <w:vAlign w:val="center"/>
          </w:tcPr>
          <w:p>
            <w:pPr>
              <w:spacing w:line="360" w:lineRule="auto"/>
              <w:rPr>
                <w:sz w:val="24"/>
                <w:szCs w:val="24"/>
              </w:rPr>
            </w:pPr>
            <w:r>
              <w:rPr>
                <w:sz w:val="24"/>
                <w:szCs w:val="24"/>
              </w:rPr>
              <w:t>4</w:t>
            </w:r>
          </w:p>
        </w:tc>
        <w:tc>
          <w:tcPr>
            <w:tcW w:w="709" w:type="dxa"/>
            <w:vAlign w:val="center"/>
          </w:tcPr>
          <w:p>
            <w:pPr>
              <w:spacing w:line="360" w:lineRule="auto"/>
              <w:rPr>
                <w:sz w:val="24"/>
                <w:szCs w:val="24"/>
              </w:rPr>
            </w:pP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sz w:val="24"/>
                <w:szCs w:val="24"/>
              </w:rPr>
            </w:pPr>
            <w:r>
              <w:rPr>
                <w:rFonts w:hint="eastAsia"/>
                <w:sz w:val="24"/>
                <w:szCs w:val="24"/>
              </w:rPr>
              <w:t>3</w:t>
            </w:r>
          </w:p>
        </w:tc>
        <w:tc>
          <w:tcPr>
            <w:tcW w:w="2977" w:type="dxa"/>
            <w:vAlign w:val="center"/>
          </w:tcPr>
          <w:p>
            <w:pPr>
              <w:spacing w:line="360" w:lineRule="auto"/>
              <w:rPr>
                <w:sz w:val="24"/>
                <w:szCs w:val="24"/>
              </w:rPr>
            </w:pPr>
            <w:r>
              <w:rPr>
                <w:rFonts w:hint="eastAsia"/>
                <w:sz w:val="24"/>
                <w:szCs w:val="24"/>
              </w:rPr>
              <w:t>标准网络节点</w:t>
            </w:r>
          </w:p>
        </w:tc>
        <w:tc>
          <w:tcPr>
            <w:tcW w:w="3969" w:type="dxa"/>
            <w:vAlign w:val="center"/>
          </w:tcPr>
          <w:p>
            <w:pPr>
              <w:pStyle w:val="7"/>
              <w:numPr>
                <w:ilvl w:val="0"/>
                <w:numId w:val="4"/>
              </w:numPr>
              <w:spacing w:line="360" w:lineRule="auto"/>
              <w:ind w:firstLineChars="0"/>
              <w:rPr>
                <w:sz w:val="24"/>
                <w:szCs w:val="24"/>
              </w:rPr>
            </w:pPr>
            <w:r>
              <w:rPr>
                <w:rFonts w:hint="eastAsia"/>
                <w:sz w:val="24"/>
                <w:szCs w:val="24"/>
              </w:rPr>
              <w:t>支持</w:t>
            </w:r>
            <w:r>
              <w:rPr>
                <w:sz w:val="24"/>
                <w:szCs w:val="24"/>
              </w:rPr>
              <w:t>500G以上交换容量</w:t>
            </w:r>
          </w:p>
          <w:p>
            <w:pPr>
              <w:pStyle w:val="7"/>
              <w:numPr>
                <w:ilvl w:val="0"/>
                <w:numId w:val="4"/>
              </w:numPr>
              <w:spacing w:line="360" w:lineRule="auto"/>
              <w:ind w:firstLineChars="0"/>
              <w:rPr>
                <w:sz w:val="24"/>
                <w:szCs w:val="24"/>
              </w:rPr>
            </w:pPr>
            <w:r>
              <w:rPr>
                <w:sz w:val="24"/>
                <w:szCs w:val="24"/>
              </w:rPr>
              <w:t>150 M以上包转发率</w:t>
            </w:r>
          </w:p>
          <w:p>
            <w:pPr>
              <w:pStyle w:val="7"/>
              <w:numPr>
                <w:ilvl w:val="0"/>
                <w:numId w:val="4"/>
              </w:numPr>
              <w:spacing w:line="360" w:lineRule="auto"/>
              <w:ind w:firstLineChars="0"/>
              <w:rPr>
                <w:sz w:val="24"/>
                <w:szCs w:val="24"/>
              </w:rPr>
            </w:pPr>
            <w:r>
              <w:rPr>
                <w:rFonts w:hint="eastAsia"/>
                <w:sz w:val="24"/>
                <w:szCs w:val="24"/>
              </w:rPr>
              <w:t>支持丰富路由管理、网络交换特性</w:t>
            </w:r>
          </w:p>
          <w:p>
            <w:pPr>
              <w:pStyle w:val="7"/>
              <w:numPr>
                <w:ilvl w:val="0"/>
                <w:numId w:val="4"/>
              </w:numPr>
              <w:spacing w:line="360" w:lineRule="auto"/>
              <w:ind w:firstLineChars="0"/>
              <w:rPr>
                <w:sz w:val="24"/>
                <w:szCs w:val="24"/>
              </w:rPr>
            </w:pPr>
            <w:r>
              <w:rPr>
                <w:sz w:val="24"/>
                <w:szCs w:val="24"/>
              </w:rPr>
              <w:t>支持丰富接口类型</w:t>
            </w:r>
            <w:r>
              <w:rPr>
                <w:rFonts w:hint="eastAsia"/>
                <w:sz w:val="24"/>
                <w:szCs w:val="24"/>
              </w:rPr>
              <w:t>：1</w:t>
            </w:r>
            <w:r>
              <w:rPr>
                <w:sz w:val="24"/>
                <w:szCs w:val="24"/>
              </w:rPr>
              <w:t>0G</w:t>
            </w:r>
            <w:r>
              <w:rPr>
                <w:rFonts w:hint="eastAsia"/>
                <w:sz w:val="24"/>
                <w:szCs w:val="24"/>
              </w:rPr>
              <w:t>光接口， 1G电接口</w:t>
            </w:r>
          </w:p>
          <w:p>
            <w:pPr>
              <w:pStyle w:val="7"/>
              <w:numPr>
                <w:ilvl w:val="0"/>
                <w:numId w:val="4"/>
              </w:numPr>
              <w:spacing w:line="360" w:lineRule="auto"/>
              <w:ind w:firstLineChars="0"/>
              <w:rPr>
                <w:sz w:val="24"/>
                <w:szCs w:val="24"/>
              </w:rPr>
            </w:pPr>
            <w:r>
              <w:rPr>
                <w:rFonts w:hint="eastAsia"/>
                <w:sz w:val="24"/>
                <w:szCs w:val="24"/>
              </w:rPr>
              <w:t>支持802.3at/POE+供电标准特性</w:t>
            </w:r>
          </w:p>
        </w:tc>
        <w:tc>
          <w:tcPr>
            <w:tcW w:w="709" w:type="dxa"/>
            <w:vAlign w:val="center"/>
          </w:tcPr>
          <w:p>
            <w:pPr>
              <w:spacing w:line="360" w:lineRule="auto"/>
              <w:rPr>
                <w:sz w:val="24"/>
                <w:szCs w:val="24"/>
              </w:rPr>
            </w:pPr>
            <w:r>
              <w:rPr>
                <w:rFonts w:hint="eastAsia"/>
                <w:sz w:val="24"/>
                <w:szCs w:val="24"/>
              </w:rPr>
              <w:t>5</w:t>
            </w:r>
            <w:r>
              <w:rPr>
                <w:sz w:val="24"/>
                <w:szCs w:val="24"/>
              </w:rPr>
              <w:t>6</w:t>
            </w:r>
          </w:p>
        </w:tc>
        <w:tc>
          <w:tcPr>
            <w:tcW w:w="709" w:type="dxa"/>
            <w:vAlign w:val="center"/>
          </w:tcPr>
          <w:p>
            <w:pPr>
              <w:spacing w:line="360" w:lineRule="auto"/>
              <w:rPr>
                <w:sz w:val="24"/>
                <w:szCs w:val="24"/>
              </w:rPr>
            </w:pPr>
            <w:r>
              <w:rPr>
                <w:rFonts w:hint="eastAsia"/>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sz w:val="24"/>
                <w:szCs w:val="24"/>
              </w:rPr>
            </w:pPr>
            <w:r>
              <w:rPr>
                <w:rFonts w:hint="eastAsia"/>
                <w:sz w:val="24"/>
                <w:szCs w:val="24"/>
              </w:rPr>
              <w:t>4</w:t>
            </w:r>
          </w:p>
        </w:tc>
        <w:tc>
          <w:tcPr>
            <w:tcW w:w="2977" w:type="dxa"/>
            <w:vAlign w:val="center"/>
          </w:tcPr>
          <w:p>
            <w:pPr>
              <w:spacing w:line="360" w:lineRule="auto"/>
              <w:rPr>
                <w:sz w:val="24"/>
                <w:szCs w:val="24"/>
              </w:rPr>
            </w:pPr>
            <w:r>
              <w:rPr>
                <w:rFonts w:hint="eastAsia"/>
                <w:sz w:val="24"/>
                <w:szCs w:val="24"/>
              </w:rPr>
              <w:t>智慧网络管理系统</w:t>
            </w:r>
          </w:p>
        </w:tc>
        <w:tc>
          <w:tcPr>
            <w:tcW w:w="3969" w:type="dxa"/>
            <w:vAlign w:val="center"/>
          </w:tcPr>
          <w:p>
            <w:pPr>
              <w:pStyle w:val="7"/>
              <w:numPr>
                <w:ilvl w:val="0"/>
                <w:numId w:val="5"/>
              </w:numPr>
              <w:spacing w:line="360" w:lineRule="auto"/>
              <w:ind w:firstLineChars="0"/>
              <w:rPr>
                <w:sz w:val="24"/>
                <w:szCs w:val="24"/>
              </w:rPr>
            </w:pPr>
            <w:r>
              <w:rPr>
                <w:rFonts w:hint="eastAsia"/>
                <w:sz w:val="24"/>
                <w:szCs w:val="24"/>
              </w:rPr>
              <w:t>支持软件定义网络功能</w:t>
            </w:r>
          </w:p>
          <w:p>
            <w:pPr>
              <w:pStyle w:val="7"/>
              <w:numPr>
                <w:ilvl w:val="0"/>
                <w:numId w:val="5"/>
              </w:numPr>
              <w:spacing w:line="360" w:lineRule="auto"/>
              <w:ind w:firstLineChars="0"/>
              <w:rPr>
                <w:sz w:val="24"/>
                <w:szCs w:val="24"/>
              </w:rPr>
            </w:pPr>
            <w:r>
              <w:rPr>
                <w:sz w:val="24"/>
                <w:szCs w:val="24"/>
              </w:rPr>
              <w:t>支持用户策略随行</w:t>
            </w:r>
          </w:p>
          <w:p>
            <w:pPr>
              <w:pStyle w:val="7"/>
              <w:numPr>
                <w:ilvl w:val="0"/>
                <w:numId w:val="5"/>
              </w:numPr>
              <w:spacing w:line="360" w:lineRule="auto"/>
              <w:ind w:firstLineChars="0"/>
              <w:rPr>
                <w:sz w:val="24"/>
                <w:szCs w:val="24"/>
              </w:rPr>
            </w:pPr>
            <w:r>
              <w:rPr>
                <w:sz w:val="24"/>
                <w:szCs w:val="24"/>
              </w:rPr>
              <w:t>支持用户认证接入</w:t>
            </w:r>
          </w:p>
          <w:p>
            <w:pPr>
              <w:pStyle w:val="7"/>
              <w:numPr>
                <w:ilvl w:val="0"/>
                <w:numId w:val="5"/>
              </w:numPr>
              <w:spacing w:line="360" w:lineRule="auto"/>
              <w:ind w:firstLineChars="0"/>
              <w:rPr>
                <w:sz w:val="24"/>
                <w:szCs w:val="24"/>
              </w:rPr>
            </w:pPr>
            <w:r>
              <w:rPr>
                <w:sz w:val="24"/>
                <w:szCs w:val="24"/>
              </w:rPr>
              <w:t>支持设备零配置自动上线</w:t>
            </w:r>
          </w:p>
          <w:p>
            <w:pPr>
              <w:pStyle w:val="7"/>
              <w:numPr>
                <w:ilvl w:val="0"/>
                <w:numId w:val="5"/>
              </w:numPr>
              <w:spacing w:line="360" w:lineRule="auto"/>
              <w:ind w:firstLineChars="0"/>
              <w:rPr>
                <w:sz w:val="24"/>
                <w:szCs w:val="24"/>
              </w:rPr>
            </w:pPr>
            <w:r>
              <w:rPr>
                <w:sz w:val="24"/>
                <w:szCs w:val="24"/>
              </w:rPr>
              <w:t>支持安全策略服务链</w:t>
            </w:r>
          </w:p>
          <w:p>
            <w:pPr>
              <w:pStyle w:val="7"/>
              <w:numPr>
                <w:ilvl w:val="0"/>
                <w:numId w:val="5"/>
              </w:numPr>
              <w:spacing w:line="360" w:lineRule="auto"/>
              <w:ind w:firstLineChars="0"/>
              <w:rPr>
                <w:sz w:val="24"/>
                <w:szCs w:val="24"/>
              </w:rPr>
            </w:pPr>
            <w:r>
              <w:rPr>
                <w:sz w:val="24"/>
                <w:szCs w:val="24"/>
              </w:rPr>
              <w:t>支持网络应用监控</w:t>
            </w:r>
            <w:r>
              <w:rPr>
                <w:rFonts w:hint="eastAsia"/>
                <w:sz w:val="24"/>
                <w:szCs w:val="24"/>
              </w:rPr>
              <w:t>、流量</w:t>
            </w:r>
            <w:r>
              <w:rPr>
                <w:sz w:val="24"/>
                <w:szCs w:val="24"/>
              </w:rPr>
              <w:t>分析</w:t>
            </w:r>
          </w:p>
          <w:p>
            <w:pPr>
              <w:pStyle w:val="7"/>
              <w:numPr>
                <w:ilvl w:val="0"/>
                <w:numId w:val="5"/>
              </w:numPr>
              <w:spacing w:line="360" w:lineRule="auto"/>
              <w:ind w:firstLineChars="0"/>
              <w:rPr>
                <w:sz w:val="24"/>
                <w:szCs w:val="24"/>
              </w:rPr>
            </w:pPr>
            <w:r>
              <w:rPr>
                <w:sz w:val="24"/>
                <w:szCs w:val="24"/>
              </w:rPr>
              <w:t>支持融合架构</w:t>
            </w:r>
            <w:r>
              <w:rPr>
                <w:rFonts w:hint="eastAsia"/>
                <w:sz w:val="24"/>
                <w:szCs w:val="24"/>
              </w:rPr>
              <w:t>管理、控制、分析</w:t>
            </w:r>
          </w:p>
          <w:p>
            <w:pPr>
              <w:pStyle w:val="7"/>
              <w:numPr>
                <w:ilvl w:val="0"/>
                <w:numId w:val="5"/>
              </w:numPr>
              <w:spacing w:line="360" w:lineRule="auto"/>
              <w:ind w:firstLineChars="0"/>
              <w:rPr>
                <w:sz w:val="24"/>
                <w:szCs w:val="24"/>
              </w:rPr>
            </w:pPr>
            <w:r>
              <w:rPr>
                <w:sz w:val="24"/>
                <w:szCs w:val="24"/>
              </w:rPr>
              <w:t>提供配套硬件设备</w:t>
            </w:r>
          </w:p>
          <w:p>
            <w:pPr>
              <w:pStyle w:val="7"/>
              <w:numPr>
                <w:ilvl w:val="0"/>
                <w:numId w:val="5"/>
              </w:numPr>
              <w:spacing w:line="360" w:lineRule="auto"/>
              <w:ind w:firstLineChars="0"/>
              <w:rPr>
                <w:sz w:val="24"/>
                <w:szCs w:val="24"/>
              </w:rPr>
            </w:pPr>
            <w:r>
              <w:rPr>
                <w:sz w:val="24"/>
                <w:szCs w:val="24"/>
              </w:rPr>
              <w:t>支持纳管天府院区</w:t>
            </w:r>
            <w:r>
              <w:rPr>
                <w:rFonts w:hint="eastAsia"/>
                <w:sz w:val="24"/>
                <w:szCs w:val="24"/>
              </w:rPr>
              <w:t>、</w:t>
            </w:r>
            <w:r>
              <w:rPr>
                <w:sz w:val="24"/>
                <w:szCs w:val="24"/>
              </w:rPr>
              <w:t>抚琴园区</w:t>
            </w:r>
            <w:r>
              <w:rPr>
                <w:rFonts w:hint="eastAsia"/>
                <w:sz w:val="24"/>
                <w:szCs w:val="24"/>
              </w:rPr>
              <w:t>、晋阳院区网络设备</w:t>
            </w:r>
          </w:p>
        </w:tc>
        <w:tc>
          <w:tcPr>
            <w:tcW w:w="709" w:type="dxa"/>
            <w:vAlign w:val="center"/>
          </w:tcPr>
          <w:p>
            <w:pPr>
              <w:spacing w:line="360" w:lineRule="auto"/>
              <w:rPr>
                <w:sz w:val="24"/>
                <w:szCs w:val="24"/>
              </w:rPr>
            </w:pPr>
            <w:r>
              <w:rPr>
                <w:rFonts w:hint="eastAsia"/>
                <w:sz w:val="24"/>
                <w:szCs w:val="24"/>
              </w:rPr>
              <w:t>1</w:t>
            </w:r>
          </w:p>
        </w:tc>
        <w:tc>
          <w:tcPr>
            <w:tcW w:w="709" w:type="dxa"/>
            <w:vAlign w:val="center"/>
          </w:tcPr>
          <w:p>
            <w:pPr>
              <w:spacing w:line="360" w:lineRule="auto"/>
              <w:rPr>
                <w:sz w:val="24"/>
                <w:szCs w:val="24"/>
              </w:rPr>
            </w:pPr>
            <w:r>
              <w:rPr>
                <w:rFonts w:hint="eastAsia"/>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sz w:val="24"/>
                <w:szCs w:val="24"/>
              </w:rPr>
            </w:pPr>
            <w:r>
              <w:rPr>
                <w:rFonts w:hint="eastAsia"/>
                <w:sz w:val="24"/>
                <w:szCs w:val="24"/>
              </w:rPr>
              <w:t>5</w:t>
            </w:r>
          </w:p>
        </w:tc>
        <w:tc>
          <w:tcPr>
            <w:tcW w:w="2977" w:type="dxa"/>
            <w:vAlign w:val="center"/>
          </w:tcPr>
          <w:p>
            <w:pPr>
              <w:spacing w:line="360" w:lineRule="auto"/>
              <w:rPr>
                <w:sz w:val="24"/>
                <w:szCs w:val="24"/>
              </w:rPr>
            </w:pPr>
            <w:r>
              <w:rPr>
                <w:rFonts w:hint="eastAsia"/>
                <w:sz w:val="24"/>
                <w:szCs w:val="24"/>
              </w:rPr>
              <w:t>集成实施服务</w:t>
            </w:r>
          </w:p>
        </w:tc>
        <w:tc>
          <w:tcPr>
            <w:tcW w:w="3969" w:type="dxa"/>
            <w:vAlign w:val="center"/>
          </w:tcPr>
          <w:p>
            <w:pPr>
              <w:pStyle w:val="7"/>
              <w:numPr>
                <w:ilvl w:val="0"/>
                <w:numId w:val="6"/>
              </w:numPr>
              <w:spacing w:line="360" w:lineRule="auto"/>
              <w:ind w:firstLineChars="0"/>
              <w:rPr>
                <w:sz w:val="24"/>
                <w:szCs w:val="24"/>
              </w:rPr>
            </w:pPr>
            <w:r>
              <w:rPr>
                <w:rFonts w:hint="eastAsia"/>
                <w:sz w:val="24"/>
                <w:szCs w:val="24"/>
              </w:rPr>
              <w:t>核心医疗业务网络构建</w:t>
            </w:r>
          </w:p>
          <w:p>
            <w:pPr>
              <w:pStyle w:val="7"/>
              <w:numPr>
                <w:ilvl w:val="0"/>
                <w:numId w:val="6"/>
              </w:numPr>
              <w:spacing w:line="360" w:lineRule="auto"/>
              <w:ind w:firstLineChars="0"/>
              <w:rPr>
                <w:sz w:val="24"/>
                <w:szCs w:val="24"/>
              </w:rPr>
            </w:pPr>
            <w:r>
              <w:rPr>
                <w:rFonts w:hint="eastAsia"/>
                <w:sz w:val="24"/>
                <w:szCs w:val="24"/>
              </w:rPr>
              <w:t>安装、集成、调试服务</w:t>
            </w:r>
          </w:p>
          <w:p>
            <w:pPr>
              <w:pStyle w:val="7"/>
              <w:numPr>
                <w:ilvl w:val="0"/>
                <w:numId w:val="6"/>
              </w:numPr>
              <w:spacing w:line="360" w:lineRule="auto"/>
              <w:ind w:firstLineChars="0"/>
              <w:rPr>
                <w:sz w:val="24"/>
                <w:szCs w:val="24"/>
              </w:rPr>
            </w:pPr>
            <w:r>
              <w:rPr>
                <w:sz w:val="24"/>
                <w:szCs w:val="24"/>
              </w:rPr>
              <w:t>进场</w:t>
            </w:r>
            <w:r>
              <w:rPr>
                <w:rFonts w:hint="eastAsia"/>
                <w:sz w:val="24"/>
                <w:szCs w:val="24"/>
              </w:rPr>
              <w:t>与总包商配套实施服务</w:t>
            </w:r>
          </w:p>
          <w:p>
            <w:pPr>
              <w:pStyle w:val="7"/>
              <w:numPr>
                <w:ilvl w:val="0"/>
                <w:numId w:val="6"/>
              </w:numPr>
              <w:spacing w:line="360" w:lineRule="auto"/>
              <w:ind w:firstLineChars="0"/>
              <w:rPr>
                <w:sz w:val="24"/>
                <w:szCs w:val="24"/>
              </w:rPr>
            </w:pPr>
            <w:r>
              <w:rPr>
                <w:sz w:val="24"/>
                <w:szCs w:val="24"/>
              </w:rPr>
              <w:t>3年原厂售后支持服务</w:t>
            </w:r>
          </w:p>
        </w:tc>
        <w:tc>
          <w:tcPr>
            <w:tcW w:w="709" w:type="dxa"/>
            <w:vAlign w:val="center"/>
          </w:tcPr>
          <w:p>
            <w:pPr>
              <w:spacing w:line="360" w:lineRule="auto"/>
              <w:rPr>
                <w:sz w:val="24"/>
                <w:szCs w:val="24"/>
              </w:rPr>
            </w:pPr>
            <w:r>
              <w:rPr>
                <w:rFonts w:hint="eastAsia"/>
                <w:sz w:val="24"/>
                <w:szCs w:val="24"/>
              </w:rPr>
              <w:t>1</w:t>
            </w:r>
          </w:p>
        </w:tc>
        <w:tc>
          <w:tcPr>
            <w:tcW w:w="709" w:type="dxa"/>
            <w:vAlign w:val="center"/>
          </w:tcPr>
          <w:p>
            <w:pPr>
              <w:spacing w:line="360" w:lineRule="auto"/>
              <w:rPr>
                <w:sz w:val="24"/>
                <w:szCs w:val="24"/>
              </w:rPr>
            </w:pPr>
            <w:r>
              <w:rPr>
                <w:rFonts w:hint="eastAsia"/>
                <w:sz w:val="24"/>
                <w:szCs w:val="24"/>
              </w:rPr>
              <w:t>项</w:t>
            </w:r>
          </w:p>
        </w:tc>
      </w:tr>
    </w:tbl>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3A4"/>
    <w:multiLevelType w:val="multilevel"/>
    <w:tmpl w:val="0BB85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695A0A"/>
    <w:multiLevelType w:val="multilevel"/>
    <w:tmpl w:val="3B695A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EF0011"/>
    <w:multiLevelType w:val="multilevel"/>
    <w:tmpl w:val="3FEF00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432223"/>
    <w:multiLevelType w:val="multilevel"/>
    <w:tmpl w:val="52432223"/>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5D475E"/>
    <w:multiLevelType w:val="multilevel"/>
    <w:tmpl w:val="665D47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894D11"/>
    <w:multiLevelType w:val="multilevel"/>
    <w:tmpl w:val="6A894D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FB"/>
    <w:rsid w:val="0003198A"/>
    <w:rsid w:val="001B1570"/>
    <w:rsid w:val="001E7273"/>
    <w:rsid w:val="002304FE"/>
    <w:rsid w:val="00337779"/>
    <w:rsid w:val="00343FA8"/>
    <w:rsid w:val="003E1C50"/>
    <w:rsid w:val="004130FB"/>
    <w:rsid w:val="00414792"/>
    <w:rsid w:val="00435004"/>
    <w:rsid w:val="0047709C"/>
    <w:rsid w:val="005033F9"/>
    <w:rsid w:val="00512DF4"/>
    <w:rsid w:val="005B50E8"/>
    <w:rsid w:val="005D09F0"/>
    <w:rsid w:val="006B4DD8"/>
    <w:rsid w:val="006C7801"/>
    <w:rsid w:val="006D3FD7"/>
    <w:rsid w:val="006E741D"/>
    <w:rsid w:val="008218E0"/>
    <w:rsid w:val="008B6919"/>
    <w:rsid w:val="009B4701"/>
    <w:rsid w:val="009C0474"/>
    <w:rsid w:val="009E3D7E"/>
    <w:rsid w:val="009F556A"/>
    <w:rsid w:val="00B03004"/>
    <w:rsid w:val="00B50DF0"/>
    <w:rsid w:val="00CA5E1D"/>
    <w:rsid w:val="00CC30E4"/>
    <w:rsid w:val="00CE6C84"/>
    <w:rsid w:val="00D33126"/>
    <w:rsid w:val="00DA3A08"/>
    <w:rsid w:val="00DA46C4"/>
    <w:rsid w:val="00DD095F"/>
    <w:rsid w:val="00DE45A5"/>
    <w:rsid w:val="00E34A4D"/>
    <w:rsid w:val="00E40A96"/>
    <w:rsid w:val="00E53137"/>
    <w:rsid w:val="00EF7C9A"/>
    <w:rsid w:val="00F1645D"/>
    <w:rsid w:val="3B23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190</Words>
  <Characters>1086</Characters>
  <Lines>9</Lines>
  <Paragraphs>2</Paragraphs>
  <TotalTime>12</TotalTime>
  <ScaleCrop>false</ScaleCrop>
  <LinksUpToDate>false</LinksUpToDate>
  <CharactersWithSpaces>1274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2022-06-29T02:43:00Z</dcterms:created>
  <dc:creator>xc</dc:creator>
  <cp:lastModifiedBy>胡瑞</cp:lastModifiedBy>
  <dcterms:modified xsi:type="dcterms:W3CDTF">2022-06-29T07:25:14Z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