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adjustRightInd w:val="0"/>
        <w:snapToGrid w:val="0"/>
        <w:spacing w:before="120" w:after="120" w:line="240" w:lineRule="auto"/>
        <w:jc w:val="left"/>
        <w:rPr>
          <w:rFonts w:hint="eastAsia" w:ascii="宋体" w:hAnsi="宋体" w:eastAsia="宋体" w:cs="宋体"/>
          <w:color w:val="auto"/>
          <w:sz w:val="44"/>
          <w:szCs w:val="44"/>
        </w:rPr>
      </w:pPr>
      <w:r>
        <w:rPr>
          <w:rFonts w:hint="eastAsia" w:ascii="宋体" w:hAnsi="宋体" w:eastAsia="宋体" w:cs="宋体"/>
          <w:b w:val="0"/>
          <w:color w:val="auto"/>
          <w:sz w:val="28"/>
          <w:szCs w:val="21"/>
        </w:rPr>
        <w:t>附件1：</w:t>
      </w:r>
    </w:p>
    <w:p>
      <w:pPr>
        <w:pStyle w:val="3"/>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四川省妇幼保健院</w:t>
      </w:r>
      <w:r>
        <w:rPr>
          <w:rFonts w:hint="eastAsia" w:ascii="宋体" w:hAnsi="宋体" w:eastAsia="宋体" w:cs="宋体"/>
          <w:color w:val="auto"/>
          <w:sz w:val="44"/>
          <w:szCs w:val="44"/>
          <w:lang w:val="en-US" w:eastAsia="zh-CN"/>
        </w:rPr>
        <w:t>官网IPv6升级改造服务</w:t>
      </w:r>
    </w:p>
    <w:p>
      <w:pPr>
        <w:pStyle w:val="3"/>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招标参数</w:t>
      </w:r>
    </w:p>
    <w:p>
      <w:pPr>
        <w:rPr>
          <w:rFonts w:hint="default" w:ascii="宋体" w:hAnsi="宋体" w:eastAsia="宋体" w:cs="宋体"/>
          <w:color w:val="auto"/>
          <w:lang w:val="en-US" w:eastAsia="zh-CN"/>
        </w:rPr>
      </w:pPr>
      <w:r>
        <w:rPr>
          <w:rFonts w:hint="eastAsia" w:ascii="宋体" w:hAnsi="宋体" w:eastAsia="宋体" w:cs="宋体"/>
          <w:color w:val="auto"/>
          <w:sz w:val="44"/>
          <w:szCs w:val="44"/>
          <w:lang w:val="en-US" w:eastAsia="zh-CN"/>
        </w:rPr>
        <w:t>说明：</w:t>
      </w:r>
      <w:r>
        <w:rPr>
          <w:rFonts w:hint="eastAsia" w:ascii="宋体" w:hAnsi="宋体" w:eastAsia="宋体" w:cs="宋体"/>
          <w:b/>
          <w:bCs/>
          <w:color w:val="auto"/>
        </w:rPr>
        <w:t>打</w:t>
      </w:r>
      <w:r>
        <w:rPr>
          <w:rFonts w:hint="eastAsia" w:ascii="宋体" w:hAnsi="宋体" w:eastAsia="宋体" w:cs="宋体"/>
          <w:b/>
          <w:bCs/>
          <w:color w:val="auto"/>
        </w:rPr>
        <w:t>★</w:t>
      </w:r>
      <w:r>
        <w:rPr>
          <w:rFonts w:hint="eastAsia" w:ascii="宋体" w:hAnsi="宋体" w:eastAsia="宋体" w:cs="宋体"/>
          <w:b/>
          <w:bCs/>
          <w:color w:val="auto"/>
        </w:rPr>
        <w:t>号的条款为本次招标项目的实质性要求，不允许有负偏离</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否则投标文件无效</w:t>
      </w:r>
      <w:bookmarkStart w:id="3" w:name="_GoBack"/>
      <w:bookmarkEnd w:id="3"/>
      <w:r>
        <w:rPr>
          <w:rFonts w:hint="eastAsia" w:ascii="宋体" w:hAnsi="宋体" w:eastAsia="宋体" w:cs="宋体"/>
          <w:b/>
          <w:bCs/>
          <w:color w:val="auto"/>
          <w:lang w:val="en-US" w:eastAsia="zh-CN"/>
        </w:rPr>
        <w:t>。</w:t>
      </w:r>
    </w:p>
    <w:p>
      <w:pPr>
        <w:pStyle w:val="10"/>
        <w:pageBreakBefore w:val="0"/>
        <w:numPr>
          <w:ilvl w:val="0"/>
          <w:numId w:val="1"/>
        </w:numPr>
        <w:kinsoku/>
        <w:wordWrap/>
        <w:overflowPunct/>
        <w:topLinePunct w:val="0"/>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预算及</w:t>
      </w:r>
      <w:r>
        <w:rPr>
          <w:rFonts w:hint="eastAsia" w:ascii="宋体" w:hAnsi="宋体" w:eastAsia="宋体" w:cs="宋体"/>
          <w:b/>
          <w:color w:val="auto"/>
          <w:sz w:val="32"/>
          <w:szCs w:val="32"/>
        </w:rPr>
        <w:t>采购货物清单</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项目总预算：</w:t>
      </w: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sz w:val="28"/>
          <w:szCs w:val="28"/>
          <w:lang w:val="en-US" w:eastAsia="zh-CN"/>
        </w:rPr>
        <w:t>万</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采购</w:t>
      </w:r>
      <w:r>
        <w:rPr>
          <w:rFonts w:hint="eastAsia" w:ascii="宋体" w:hAnsi="宋体" w:eastAsia="宋体" w:cs="宋体"/>
          <w:b w:val="0"/>
          <w:bCs/>
          <w:color w:val="auto"/>
          <w:sz w:val="28"/>
          <w:szCs w:val="28"/>
          <w:lang w:val="en-US" w:eastAsia="zh-CN"/>
        </w:rPr>
        <w:t>清单</w:t>
      </w:r>
    </w:p>
    <w:tbl>
      <w:tblPr>
        <w:tblStyle w:val="8"/>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485"/>
        <w:gridCol w:w="855"/>
        <w:gridCol w:w="1064"/>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3485"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项目</w:t>
            </w:r>
            <w:r>
              <w:rPr>
                <w:rFonts w:hint="eastAsia" w:ascii="宋体" w:hAnsi="宋体" w:eastAsia="宋体" w:cs="宋体"/>
                <w:b/>
                <w:bCs/>
                <w:color w:val="auto"/>
                <w:kern w:val="0"/>
                <w:szCs w:val="21"/>
              </w:rPr>
              <w:t>名称</w:t>
            </w:r>
          </w:p>
        </w:tc>
        <w:tc>
          <w:tcPr>
            <w:tcW w:w="855"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1064"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1822"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32"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3485" w:type="dxa"/>
            <w:noWrap w:val="0"/>
            <w:vAlign w:val="center"/>
          </w:tcPr>
          <w:p>
            <w:pPr>
              <w:pageBreakBefore w:val="0"/>
              <w:widowControl/>
              <w:kinsoku/>
              <w:wordWrap/>
              <w:overflowPunct/>
              <w:topLinePunct w:val="0"/>
              <w:bidi w:val="0"/>
              <w:adjustRightInd w:val="0"/>
              <w:snapToGrid w:val="0"/>
              <w:spacing w:line="24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四川省妇幼保健院官网IPv6升级改造服务</w:t>
            </w:r>
          </w:p>
        </w:tc>
        <w:tc>
          <w:tcPr>
            <w:tcW w:w="855"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064"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822" w:type="dxa"/>
            <w:noWrap w:val="0"/>
            <w:vAlign w:val="center"/>
          </w:tcPr>
          <w:p>
            <w:pPr>
              <w:pageBreakBefore w:val="0"/>
              <w:widowControl/>
              <w:kinsoku/>
              <w:wordWrap/>
              <w:overflowPunct/>
              <w:topLinePunct w:val="0"/>
              <w:bidi w:val="0"/>
              <w:adjustRightInd w:val="0"/>
              <w:snapToGrid w:val="0"/>
              <w:spacing w:line="240" w:lineRule="auto"/>
              <w:contextualSpacing/>
              <w:jc w:val="center"/>
              <w:rPr>
                <w:rFonts w:hint="eastAsia" w:ascii="宋体" w:hAnsi="宋体" w:eastAsia="宋体" w:cs="宋体"/>
                <w:color w:val="auto"/>
                <w:kern w:val="0"/>
                <w:szCs w:val="21"/>
              </w:rPr>
            </w:pPr>
            <w:r>
              <w:rPr>
                <w:rFonts w:hint="eastAsia" w:ascii="宋体" w:hAnsi="宋体" w:eastAsia="宋体" w:cs="宋体"/>
                <w:color w:val="auto"/>
                <w:kern w:val="0"/>
                <w:szCs w:val="21"/>
              </w:rPr>
              <w:t>无</w:t>
            </w:r>
          </w:p>
        </w:tc>
      </w:tr>
    </w:tbl>
    <w:p>
      <w:pPr>
        <w:pStyle w:val="10"/>
        <w:pageBreakBefore w:val="0"/>
        <w:numPr>
          <w:ilvl w:val="0"/>
          <w:numId w:val="1"/>
        </w:numPr>
        <w:kinsoku/>
        <w:wordWrap/>
        <w:overflowPunct/>
        <w:topLinePunct w:val="0"/>
        <w:bidi w:val="0"/>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技术参数</w:t>
      </w:r>
      <w:r>
        <w:rPr>
          <w:rFonts w:hint="eastAsia" w:ascii="宋体" w:hAnsi="宋体" w:eastAsia="宋体" w:cs="宋体"/>
          <w:b/>
          <w:color w:val="auto"/>
          <w:sz w:val="32"/>
          <w:szCs w:val="32"/>
          <w:lang w:val="en-US" w:eastAsia="zh-CN"/>
        </w:rPr>
        <w:t>和商务</w:t>
      </w:r>
      <w:r>
        <w:rPr>
          <w:rFonts w:hint="eastAsia" w:ascii="宋体" w:hAnsi="宋体" w:eastAsia="宋体" w:cs="宋体"/>
          <w:b/>
          <w:color w:val="auto"/>
          <w:sz w:val="32"/>
          <w:szCs w:val="32"/>
        </w:rPr>
        <w:t>要求</w:t>
      </w:r>
    </w:p>
    <w:tbl>
      <w:tblPr>
        <w:tblStyle w:val="8"/>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59"/>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55" w:type="dxa"/>
            <w:vAlign w:val="center"/>
          </w:tcPr>
          <w:p>
            <w:pPr>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359" w:type="dxa"/>
            <w:shd w:val="clear" w:color="auto" w:fill="auto"/>
            <w:tcMar>
              <w:top w:w="0" w:type="dxa"/>
              <w:left w:w="108" w:type="dxa"/>
              <w:bottom w:w="0" w:type="dxa"/>
              <w:right w:w="108" w:type="dxa"/>
            </w:tcMar>
            <w:vAlign w:val="center"/>
          </w:tcPr>
          <w:p>
            <w:pPr>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采购内容</w:t>
            </w:r>
          </w:p>
        </w:tc>
        <w:tc>
          <w:tcPr>
            <w:tcW w:w="6505" w:type="dxa"/>
            <w:shd w:val="clear" w:color="auto" w:fill="auto"/>
            <w:tcMar>
              <w:top w:w="0" w:type="dxa"/>
              <w:left w:w="108" w:type="dxa"/>
              <w:bottom w:w="0" w:type="dxa"/>
              <w:right w:w="108" w:type="dxa"/>
            </w:tcMar>
            <w:vAlign w:val="center"/>
          </w:tcPr>
          <w:p>
            <w:pPr>
              <w:pageBreakBefore w:val="0"/>
              <w:kinsoku/>
              <w:wordWrap/>
              <w:overflowPunct/>
              <w:topLinePunct w:val="0"/>
              <w:autoSpaceDE w:val="0"/>
              <w:autoSpaceDN w:val="0"/>
              <w:bidi w:val="0"/>
              <w:adjustRightInd w:val="0"/>
              <w:snapToGrid w:val="0"/>
              <w:spacing w:line="240" w:lineRule="auto"/>
              <w:ind w:firstLine="48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55" w:type="dxa"/>
            <w:vAlign w:val="center"/>
          </w:tcPr>
          <w:p>
            <w:pPr>
              <w:pStyle w:val="10"/>
              <w:pageBreakBefore w:val="0"/>
              <w:numPr>
                <w:ilvl w:val="0"/>
                <w:numId w:val="3"/>
              </w:numPr>
              <w:kinsoku/>
              <w:wordWrap/>
              <w:overflowPunct/>
              <w:topLinePunct w:val="0"/>
              <w:autoSpaceDE w:val="0"/>
              <w:autoSpaceDN w:val="0"/>
              <w:bidi w:val="0"/>
              <w:adjustRightInd w:val="0"/>
              <w:snapToGrid w:val="0"/>
              <w:spacing w:line="240" w:lineRule="auto"/>
              <w:ind w:firstLineChars="0"/>
              <w:jc w:val="center"/>
              <w:rPr>
                <w:rFonts w:hint="eastAsia" w:ascii="宋体" w:hAnsi="宋体" w:eastAsia="宋体" w:cs="宋体"/>
                <w:color w:val="auto"/>
                <w:sz w:val="21"/>
                <w:szCs w:val="21"/>
              </w:rPr>
            </w:pPr>
          </w:p>
        </w:tc>
        <w:tc>
          <w:tcPr>
            <w:tcW w:w="1359" w:type="dxa"/>
            <w:shd w:val="clear" w:color="auto" w:fill="auto"/>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服务要求</w:t>
            </w:r>
          </w:p>
        </w:tc>
        <w:tc>
          <w:tcPr>
            <w:tcW w:w="6505" w:type="dxa"/>
            <w:shd w:val="clear" w:color="auto" w:fill="auto"/>
            <w:tcMar>
              <w:top w:w="0" w:type="dxa"/>
              <w:left w:w="108" w:type="dxa"/>
              <w:bottom w:w="0" w:type="dxa"/>
              <w:right w:w="108" w:type="dxa"/>
            </w:tcMar>
            <w:vAlign w:val="center"/>
          </w:tcPr>
          <w:p>
            <w:pPr>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★本次服务项目需在医院现有的网站管理系统基础上进行</w:t>
            </w:r>
            <w:r>
              <w:rPr>
                <w:rFonts w:hint="eastAsia" w:ascii="宋体" w:hAnsi="宋体" w:eastAsia="宋体" w:cs="宋体"/>
                <w:color w:val="auto"/>
                <w:sz w:val="21"/>
                <w:szCs w:val="21"/>
                <w:lang w:val="en-US" w:eastAsia="zh-CN"/>
              </w:rPr>
              <w:t>升级改造</w:t>
            </w:r>
            <w:r>
              <w:rPr>
                <w:rFonts w:hint="eastAsia" w:ascii="宋体" w:hAnsi="宋体" w:eastAsia="宋体" w:cs="宋体"/>
                <w:color w:val="auto"/>
                <w:sz w:val="21"/>
                <w:szCs w:val="21"/>
              </w:rPr>
              <w:t>服务，因该系统的框架、核心技术及平台源代码均为原网站系统开发公司自主研发，拥有独立知识产权，故为保证网站数据的安全性和完整性、故障处理的效率性和便利性，中标方必须依法取得原网站管理系统开发公司的授权书。授权书由中标方自行取得，且由此产生的费用自行承担。</w:t>
            </w:r>
          </w:p>
          <w:p>
            <w:pPr>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★本次项目服务期间，若对原系统进行升级改造，该方面需要原系统开发公司协助并且所产生的服务费用都由中标方承担。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55" w:type="dxa"/>
            <w:vAlign w:val="center"/>
          </w:tcPr>
          <w:p>
            <w:pPr>
              <w:pStyle w:val="10"/>
              <w:pageBreakBefore w:val="0"/>
              <w:numPr>
                <w:ilvl w:val="0"/>
                <w:numId w:val="3"/>
              </w:numPr>
              <w:kinsoku/>
              <w:wordWrap/>
              <w:overflowPunct/>
              <w:topLinePunct w:val="0"/>
              <w:autoSpaceDE w:val="0"/>
              <w:autoSpaceDN w:val="0"/>
              <w:bidi w:val="0"/>
              <w:adjustRightInd w:val="0"/>
              <w:snapToGrid w:val="0"/>
              <w:spacing w:line="240" w:lineRule="auto"/>
              <w:ind w:firstLineChars="0"/>
              <w:jc w:val="center"/>
              <w:rPr>
                <w:rFonts w:hint="eastAsia" w:ascii="宋体" w:hAnsi="宋体" w:eastAsia="宋体" w:cs="宋体"/>
                <w:color w:val="auto"/>
                <w:sz w:val="21"/>
                <w:szCs w:val="21"/>
              </w:rPr>
            </w:pPr>
          </w:p>
        </w:tc>
        <w:tc>
          <w:tcPr>
            <w:tcW w:w="1359" w:type="dxa"/>
            <w:shd w:val="clear" w:color="auto" w:fill="auto"/>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tc>
        <w:tc>
          <w:tcPr>
            <w:tcW w:w="6505" w:type="dxa"/>
            <w:shd w:val="clear" w:color="auto" w:fill="auto"/>
            <w:tcMar>
              <w:top w:w="0" w:type="dxa"/>
              <w:left w:w="108" w:type="dxa"/>
              <w:bottom w:w="0" w:type="dxa"/>
              <w:right w:w="108" w:type="dxa"/>
            </w:tcMar>
            <w:vAlign w:val="center"/>
          </w:tcPr>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（一）IPv6基础网络可达</w:t>
            </w: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具备路由可达的、有效的IPv6接入地址。</w:t>
            </w: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具备网络层的IPv6双向连通性。来自用户的IPv6数据包能够通过IPv6网络传输到支持IPv6的互联网应用（官网），同时能够正确响应该IPv6数据包，响应报文能够通过IPv6网络传输给用户。</w:t>
            </w: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（二）域名系统4A解析能力</w:t>
            </w: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域名支持AAAA记录的解析，服务器能够得到解析，能够正确获得IPv6地址。支持IPv4的域名和支持IPv6的域名为同一域名。</w:t>
            </w: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（三）官网IPv6支持能力改造</w:t>
            </w:r>
          </w:p>
          <w:p>
            <w:pPr>
              <w:pStyle w:val="2"/>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包含IPv6访问稳定性、官网IPv6访问改造。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55" w:type="dxa"/>
            <w:vAlign w:val="center"/>
          </w:tcPr>
          <w:p>
            <w:pPr>
              <w:pStyle w:val="10"/>
              <w:pageBreakBefore w:val="0"/>
              <w:numPr>
                <w:ilvl w:val="0"/>
                <w:numId w:val="3"/>
              </w:numPr>
              <w:kinsoku/>
              <w:wordWrap/>
              <w:overflowPunct/>
              <w:topLinePunct w:val="0"/>
              <w:autoSpaceDE w:val="0"/>
              <w:autoSpaceDN w:val="0"/>
              <w:bidi w:val="0"/>
              <w:adjustRightInd w:val="0"/>
              <w:snapToGrid w:val="0"/>
              <w:spacing w:line="240" w:lineRule="auto"/>
              <w:ind w:firstLineChars="0"/>
              <w:jc w:val="center"/>
              <w:rPr>
                <w:rFonts w:hint="eastAsia" w:ascii="宋体" w:hAnsi="宋体" w:eastAsia="宋体" w:cs="宋体"/>
                <w:color w:val="auto"/>
                <w:sz w:val="21"/>
                <w:szCs w:val="21"/>
              </w:rPr>
            </w:pPr>
          </w:p>
        </w:tc>
        <w:tc>
          <w:tcPr>
            <w:tcW w:w="1359" w:type="dxa"/>
            <w:shd w:val="clear" w:color="auto" w:fill="auto"/>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tc>
        <w:tc>
          <w:tcPr>
            <w:tcW w:w="6505" w:type="dxa"/>
            <w:shd w:val="clear" w:color="auto" w:fill="auto"/>
            <w:tcMar>
              <w:top w:w="0" w:type="dxa"/>
              <w:left w:w="108" w:type="dxa"/>
              <w:bottom w:w="0" w:type="dxa"/>
              <w:right w:w="108" w:type="dxa"/>
            </w:tcMar>
            <w:vAlign w:val="center"/>
          </w:tcPr>
          <w:p>
            <w:pPr>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1.▲项目服务期限和交付地点：升级需要在一个月内完成，同时需要在后续保障升级的基础上，维护11个月，总服务期一年。地点由采购人指定。</w:t>
            </w:r>
          </w:p>
          <w:p>
            <w:pPr>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2.付款方式：</w:t>
            </w:r>
            <w:r>
              <w:rPr>
                <w:rFonts w:hint="eastAsia" w:ascii="宋体" w:hAnsi="宋体" w:eastAsia="宋体" w:cs="宋体"/>
                <w:color w:val="auto"/>
                <w:sz w:val="21"/>
                <w:szCs w:val="21"/>
                <w:lang w:val="en-US" w:eastAsia="zh-CN"/>
              </w:rPr>
              <w:t>验收通过无故障运行满1个月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中标方</w:t>
            </w:r>
            <w:r>
              <w:rPr>
                <w:rFonts w:hint="eastAsia" w:ascii="宋体" w:hAnsi="宋体" w:eastAsia="宋体" w:cs="宋体"/>
                <w:color w:val="auto"/>
                <w:sz w:val="21"/>
                <w:szCs w:val="21"/>
              </w:rPr>
              <w:t>提交付款申请书，招标方在收到付款申请书30个工作日内支付全部合同金额。</w:t>
            </w:r>
          </w:p>
          <w:p>
            <w:pPr>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▲售后要求：能根据国家最新文件，更新防护规则；网站安全发生问题0.5小时响应，2小时内处理完毕。</w:t>
            </w:r>
          </w:p>
          <w:p>
            <w:pPr>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t>验收的标准：按国家有关规定以及采购人采购文件的质量要求和技术指标、供应商的响应文件及承诺与本合同约定标准进行验收；双方如对质量要求和技术指标的约定标准有相互抵触或异议的事项，由采购人在招标与响应文件中按质量要求和技术指标比较优胜的原则确定该项的约定标准进行验收。</w:t>
            </w:r>
          </w:p>
        </w:tc>
      </w:tr>
    </w:tbl>
    <w:p>
      <w:pPr>
        <w:pageBreakBefore w:val="0"/>
        <w:kinsoku/>
        <w:wordWrap/>
        <w:overflowPunct/>
        <w:topLinePunct w:val="0"/>
        <w:bidi w:val="0"/>
        <w:adjustRightInd w:val="0"/>
        <w:snapToGrid w:val="0"/>
        <w:spacing w:line="240" w:lineRule="auto"/>
        <w:rPr>
          <w:rFonts w:hint="eastAsia" w:ascii="宋体" w:hAnsi="宋体" w:eastAsia="宋体" w:cs="宋体"/>
          <w:color w:val="auto"/>
        </w:rPr>
      </w:pPr>
    </w:p>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rPr>
      </w:pPr>
      <w:r>
        <w:rPr>
          <w:rFonts w:hint="eastAsia" w:ascii="宋体" w:hAnsi="宋体" w:eastAsia="宋体" w:cs="宋体"/>
          <w:color w:val="auto"/>
        </w:rPr>
        <w:br w:type="page"/>
      </w:r>
    </w:p>
    <w:p>
      <w:pPr>
        <w:pageBreakBefore w:val="0"/>
        <w:kinsoku/>
        <w:wordWrap/>
        <w:overflowPunct/>
        <w:topLinePunct w:val="0"/>
        <w:bidi w:val="0"/>
        <w:adjustRightInd w:val="0"/>
        <w:snapToGrid w:val="0"/>
        <w:spacing w:line="240" w:lineRule="auto"/>
        <w:outlineLvl w:val="0"/>
        <w:rPr>
          <w:rFonts w:hint="eastAsia" w:ascii="宋体" w:hAnsi="宋体" w:eastAsia="宋体" w:cs="宋体"/>
          <w:color w:val="auto"/>
        </w:rPr>
      </w:pPr>
      <w:r>
        <w:rPr>
          <w:rFonts w:hint="eastAsia" w:ascii="宋体" w:hAnsi="宋体" w:eastAsia="宋体" w:cs="宋体"/>
          <w:color w:val="auto"/>
        </w:rPr>
        <w:t>附件2：评分标准</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956"/>
        <w:gridCol w:w="927"/>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17" w:hRule="atLeast"/>
          <w:jc w:val="center"/>
        </w:trPr>
        <w:tc>
          <w:tcPr>
            <w:tcW w:w="956"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927"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6636"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06" w:hRule="atLeast"/>
          <w:jc w:val="center"/>
        </w:trPr>
        <w:tc>
          <w:tcPr>
            <w:tcW w:w="956"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报价</w:t>
            </w:r>
          </w:p>
        </w:tc>
        <w:tc>
          <w:tcPr>
            <w:tcW w:w="927"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6636"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1、评标基准价：所有有效投标报价的平均价即为评标基准价。</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2、其他供应商的价格分统一按照下列公式计算：</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（1）投标人的评标价比基准价每高1%扣1分。</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（2）投标人的评标价比基准价每低1%扣0.5分。</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注：计算结果四舍五入到整数，扣完为止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95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tc>
        <w:tc>
          <w:tcPr>
            <w:tcW w:w="927"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63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numPr>
                <w:ilvl w:val="0"/>
                <w:numId w:val="4"/>
              </w:numPr>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★参数不允许偏离，如有★参数偏离，按响应无效处理</w:t>
            </w:r>
            <w:r>
              <w:rPr>
                <w:rFonts w:hint="eastAsia" w:ascii="宋体" w:hAnsi="宋体" w:eastAsia="宋体" w:cs="宋体"/>
                <w:color w:val="auto"/>
                <w:sz w:val="21"/>
                <w:szCs w:val="21"/>
                <w:lang w:eastAsia="zh-CN"/>
              </w:rPr>
              <w:t>。</w:t>
            </w:r>
          </w:p>
          <w:p>
            <w:pPr>
              <w:pStyle w:val="11"/>
              <w:pageBreakBefore w:val="0"/>
              <w:numPr>
                <w:ilvl w:val="0"/>
                <w:numId w:val="4"/>
              </w:numPr>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标产品全部满足采购文件技术参数要求得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pStyle w:val="11"/>
              <w:pageBreakBefore w:val="0"/>
              <w:numPr>
                <w:ilvl w:val="0"/>
                <w:numId w:val="4"/>
              </w:numPr>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条款为重要条款，每项负偏离扣4分；非</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条款为普通条款，每项负偏离或不满足扣2分。</w:t>
            </w:r>
          </w:p>
          <w:p>
            <w:pPr>
              <w:pStyle w:val="11"/>
              <w:pageBreakBefore w:val="0"/>
              <w:numPr>
                <w:ilvl w:val="0"/>
                <w:numId w:val="4"/>
              </w:numPr>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多条</w:t>
            </w:r>
            <w:r>
              <w:rPr>
                <w:rFonts w:hint="eastAsia" w:ascii="宋体" w:hAnsi="宋体" w:eastAsia="宋体" w:cs="宋体"/>
                <w:color w:val="auto"/>
                <w:sz w:val="21"/>
                <w:szCs w:val="21"/>
                <w:lang w:val="en-US" w:eastAsia="zh-CN"/>
              </w:rPr>
              <w:t>负偏离或</w:t>
            </w:r>
            <w:r>
              <w:rPr>
                <w:rFonts w:hint="eastAsia" w:ascii="宋体" w:hAnsi="宋体" w:eastAsia="宋体" w:cs="宋体"/>
                <w:color w:val="auto"/>
                <w:sz w:val="21"/>
                <w:szCs w:val="21"/>
              </w:rPr>
              <w:t>不满足逐条扣除直至扣完为止</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95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w:t>
            </w:r>
          </w:p>
        </w:tc>
        <w:tc>
          <w:tcPr>
            <w:tcW w:w="927"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63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产品技术解决</w:t>
            </w:r>
            <w:r>
              <w:rPr>
                <w:rFonts w:hint="eastAsia" w:ascii="宋体" w:hAnsi="宋体" w:eastAsia="宋体" w:cs="宋体"/>
                <w:color w:val="auto"/>
                <w:sz w:val="21"/>
                <w:szCs w:val="21"/>
              </w:rPr>
              <w:t>方案清晰、目标</w:t>
            </w:r>
            <w:r>
              <w:rPr>
                <w:rFonts w:hint="eastAsia" w:ascii="宋体" w:hAnsi="宋体" w:eastAsia="宋体" w:cs="宋体"/>
                <w:color w:val="auto"/>
                <w:sz w:val="21"/>
                <w:szCs w:val="21"/>
                <w:lang w:val="en-US" w:eastAsia="zh-CN"/>
              </w:rPr>
              <w:t>明确、</w:t>
            </w:r>
            <w:r>
              <w:rPr>
                <w:rFonts w:hint="eastAsia" w:ascii="宋体" w:hAnsi="宋体" w:eastAsia="宋体" w:cs="宋体"/>
                <w:color w:val="auto"/>
                <w:sz w:val="21"/>
                <w:szCs w:val="21"/>
              </w:rPr>
              <w:t>内容详尽、应对措施完善，得</w:t>
            </w:r>
            <w:r>
              <w:rPr>
                <w:rFonts w:hint="eastAsia" w:ascii="宋体" w:hAnsi="宋体" w:eastAsia="宋体" w:cs="宋体"/>
                <w:color w:val="auto"/>
                <w:sz w:val="21"/>
                <w:szCs w:val="21"/>
                <w:lang w:val="en-US" w:eastAsia="zh-CN"/>
              </w:rPr>
              <w:t>10-15</w:t>
            </w:r>
            <w:r>
              <w:rPr>
                <w:rFonts w:hint="eastAsia" w:ascii="宋体" w:hAnsi="宋体" w:eastAsia="宋体" w:cs="宋体"/>
                <w:color w:val="auto"/>
                <w:sz w:val="21"/>
                <w:szCs w:val="21"/>
              </w:rPr>
              <w:t xml:space="preserve">分； </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产品技术解决</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比较清晰</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比较明确</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比较详尽</w:t>
            </w:r>
            <w:r>
              <w:rPr>
                <w:rFonts w:hint="eastAsia" w:ascii="宋体" w:hAnsi="宋体" w:eastAsia="宋体" w:cs="宋体"/>
                <w:color w:val="auto"/>
                <w:sz w:val="21"/>
                <w:szCs w:val="21"/>
              </w:rPr>
              <w:t>、应对措施</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完善，得</w:t>
            </w:r>
            <w:r>
              <w:rPr>
                <w:rFonts w:hint="eastAsia" w:ascii="宋体" w:hAnsi="宋体" w:eastAsia="宋体" w:cs="宋体"/>
                <w:color w:val="auto"/>
                <w:sz w:val="21"/>
                <w:szCs w:val="21"/>
                <w:lang w:eastAsia="zh-CN"/>
              </w:rPr>
              <w:t>6-9</w:t>
            </w:r>
            <w:r>
              <w:rPr>
                <w:rFonts w:hint="eastAsia" w:ascii="宋体" w:hAnsi="宋体" w:eastAsia="宋体" w:cs="宋体"/>
                <w:color w:val="auto"/>
                <w:sz w:val="21"/>
                <w:szCs w:val="21"/>
              </w:rPr>
              <w:t>分；</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产品技术解决</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不清晰</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不明确</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不详尽</w:t>
            </w:r>
            <w:r>
              <w:rPr>
                <w:rFonts w:hint="eastAsia" w:ascii="宋体" w:hAnsi="宋体" w:eastAsia="宋体" w:cs="宋体"/>
                <w:color w:val="auto"/>
                <w:sz w:val="21"/>
                <w:szCs w:val="21"/>
              </w:rPr>
              <w:t>、应对措施</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完善，得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90" w:hRule="atLeast"/>
          <w:jc w:val="center"/>
        </w:trPr>
        <w:tc>
          <w:tcPr>
            <w:tcW w:w="95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w:t>
            </w:r>
          </w:p>
        </w:tc>
        <w:tc>
          <w:tcPr>
            <w:tcW w:w="927"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663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售后</w:t>
            </w:r>
            <w:r>
              <w:rPr>
                <w:rFonts w:hint="eastAsia" w:ascii="宋体" w:hAnsi="宋体" w:eastAsia="宋体" w:cs="宋体"/>
                <w:color w:val="auto"/>
                <w:sz w:val="21"/>
                <w:szCs w:val="21"/>
              </w:rPr>
              <w:t>方案清晰、目标</w:t>
            </w:r>
            <w:r>
              <w:rPr>
                <w:rFonts w:hint="eastAsia" w:ascii="宋体" w:hAnsi="宋体" w:eastAsia="宋体" w:cs="宋体"/>
                <w:color w:val="auto"/>
                <w:sz w:val="21"/>
                <w:szCs w:val="21"/>
                <w:lang w:val="en-US" w:eastAsia="zh-CN"/>
              </w:rPr>
              <w:t>明确、</w:t>
            </w:r>
            <w:r>
              <w:rPr>
                <w:rFonts w:hint="eastAsia" w:ascii="宋体" w:hAnsi="宋体" w:eastAsia="宋体" w:cs="宋体"/>
                <w:color w:val="auto"/>
                <w:sz w:val="21"/>
                <w:szCs w:val="21"/>
              </w:rPr>
              <w:t>内容详尽、应对措施完善，得</w:t>
            </w:r>
            <w:r>
              <w:rPr>
                <w:rFonts w:hint="eastAsia" w:ascii="宋体" w:hAnsi="宋体" w:eastAsia="宋体" w:cs="宋体"/>
                <w:color w:val="auto"/>
                <w:sz w:val="21"/>
                <w:szCs w:val="21"/>
                <w:lang w:val="en-US" w:eastAsia="zh-CN"/>
              </w:rPr>
              <w:t>10-15</w:t>
            </w:r>
            <w:r>
              <w:rPr>
                <w:rFonts w:hint="eastAsia" w:ascii="宋体" w:hAnsi="宋体" w:eastAsia="宋体" w:cs="宋体"/>
                <w:color w:val="auto"/>
                <w:sz w:val="21"/>
                <w:szCs w:val="21"/>
              </w:rPr>
              <w:t xml:space="preserve">分； </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售后</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比较清晰</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比较明确</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比较详尽</w:t>
            </w:r>
            <w:r>
              <w:rPr>
                <w:rFonts w:hint="eastAsia" w:ascii="宋体" w:hAnsi="宋体" w:eastAsia="宋体" w:cs="宋体"/>
                <w:color w:val="auto"/>
                <w:sz w:val="21"/>
                <w:szCs w:val="21"/>
              </w:rPr>
              <w:t>、应对措施</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完善，得</w:t>
            </w:r>
            <w:r>
              <w:rPr>
                <w:rFonts w:hint="eastAsia" w:ascii="宋体" w:hAnsi="宋体" w:eastAsia="宋体" w:cs="宋体"/>
                <w:color w:val="auto"/>
                <w:sz w:val="21"/>
                <w:szCs w:val="21"/>
                <w:lang w:eastAsia="zh-CN"/>
              </w:rPr>
              <w:t>6-9</w:t>
            </w:r>
            <w:r>
              <w:rPr>
                <w:rFonts w:hint="eastAsia" w:ascii="宋体" w:hAnsi="宋体" w:eastAsia="宋体" w:cs="宋体"/>
                <w:color w:val="auto"/>
                <w:sz w:val="21"/>
                <w:szCs w:val="21"/>
              </w:rPr>
              <w:t>分；</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售后</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不清晰</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不明确</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不详尽</w:t>
            </w:r>
            <w:r>
              <w:rPr>
                <w:rFonts w:hint="eastAsia" w:ascii="宋体" w:hAnsi="宋体" w:eastAsia="宋体" w:cs="宋体"/>
                <w:color w:val="auto"/>
                <w:sz w:val="21"/>
                <w:szCs w:val="21"/>
              </w:rPr>
              <w:t>、应对措施</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完善，得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95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资质</w:t>
            </w:r>
          </w:p>
        </w:tc>
        <w:tc>
          <w:tcPr>
            <w:tcW w:w="927"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16分</w:t>
            </w:r>
          </w:p>
        </w:tc>
        <w:tc>
          <w:tcPr>
            <w:tcW w:w="663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供应商应具备良好技术实力和商业信誉：</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1、AAA级企业信用证书</w:t>
            </w:r>
            <w:r>
              <w:rPr>
                <w:rFonts w:hint="eastAsia" w:ascii="宋体" w:hAnsi="宋体" w:eastAsia="宋体" w:cs="宋体"/>
                <w:color w:val="auto"/>
                <w:sz w:val="21"/>
                <w:szCs w:val="21"/>
                <w:lang w:eastAsia="zh-CN"/>
              </w:rPr>
              <w:t>；</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2、地市级“守合同重信用”企业荣誉证书</w:t>
            </w:r>
            <w:r>
              <w:rPr>
                <w:rFonts w:hint="eastAsia" w:ascii="宋体" w:hAnsi="宋体" w:eastAsia="宋体" w:cs="宋体"/>
                <w:color w:val="auto"/>
                <w:sz w:val="21"/>
                <w:szCs w:val="21"/>
                <w:lang w:eastAsia="zh-CN"/>
              </w:rPr>
              <w:t>；</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3、ISO9001质量管理体系认证证书；</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、ISO20000信息技术服务管理体系认证证书</w:t>
            </w:r>
            <w:r>
              <w:rPr>
                <w:rFonts w:hint="eastAsia" w:ascii="宋体" w:hAnsi="宋体" w:eastAsia="宋体" w:cs="宋体"/>
                <w:color w:val="auto"/>
                <w:sz w:val="21"/>
                <w:szCs w:val="21"/>
                <w:lang w:eastAsia="zh-CN"/>
              </w:rPr>
              <w:t>；</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、ISO27001信息安全管理体系认证证书；</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6、高新技术企业证书；</w:t>
            </w:r>
          </w:p>
          <w:p>
            <w:pPr>
              <w:pStyle w:val="11"/>
              <w:pageBreakBefore w:val="0"/>
              <w:kinsoku/>
              <w:wordWrap/>
              <w:overflowPunct/>
              <w:topLinePunct w:val="0"/>
              <w:bidi w:val="0"/>
              <w:adjustRightInd w:val="0"/>
              <w:snapToGrid w:val="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7、软件企业证书和软件产品证书；</w:t>
            </w:r>
          </w:p>
          <w:p>
            <w:pPr>
              <w:pStyle w:val="11"/>
              <w:pageBreakBefore w:val="0"/>
              <w:kinsoku/>
              <w:wordWrap/>
              <w:overflowPunct/>
              <w:topLinePunct w:val="0"/>
              <w:bidi w:val="0"/>
              <w:adjustRightInd w:val="0"/>
              <w:snapToGrid w:val="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color w:val="auto"/>
                <w:sz w:val="21"/>
                <w:szCs w:val="21"/>
                <w:lang w:val="en-US" w:eastAsia="zh-CN"/>
              </w:rPr>
              <w:t>数据监控和运维管理</w:t>
            </w:r>
            <w:r>
              <w:rPr>
                <w:rFonts w:hint="eastAsia" w:ascii="宋体" w:hAnsi="宋体" w:eastAsia="宋体" w:cs="宋体"/>
                <w:color w:val="auto"/>
                <w:sz w:val="21"/>
                <w:szCs w:val="21"/>
              </w:rPr>
              <w:t>软件著作权</w:t>
            </w:r>
            <w:r>
              <w:rPr>
                <w:rFonts w:hint="eastAsia" w:ascii="宋体" w:hAnsi="宋体" w:eastAsia="宋体" w:cs="宋体"/>
                <w:color w:val="auto"/>
                <w:sz w:val="21"/>
                <w:szCs w:val="21"/>
                <w:lang w:val="en-US" w:eastAsia="zh-CN"/>
              </w:rPr>
              <w:t>证书；</w:t>
            </w:r>
          </w:p>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以上证书全有且获得时间大于两年，每缺少一个扣2分，扣完为止。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71" w:hRule="atLeast"/>
          <w:jc w:val="center"/>
        </w:trPr>
        <w:tc>
          <w:tcPr>
            <w:tcW w:w="956" w:type="dxa"/>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业绩部分</w:t>
            </w:r>
          </w:p>
        </w:tc>
        <w:tc>
          <w:tcPr>
            <w:tcW w:w="927"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6636"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三级甲等医院类似项目</w:t>
            </w:r>
            <w:r>
              <w:rPr>
                <w:rFonts w:hint="eastAsia" w:ascii="宋体" w:hAnsi="宋体" w:eastAsia="宋体" w:cs="宋体"/>
                <w:color w:val="auto"/>
                <w:sz w:val="21"/>
                <w:szCs w:val="21"/>
              </w:rPr>
              <w:t>业绩合同，每</w:t>
            </w:r>
            <w:r>
              <w:rPr>
                <w:rFonts w:hint="eastAsia" w:ascii="宋体" w:hAnsi="宋体" w:eastAsia="宋体" w:cs="宋体"/>
                <w:color w:val="auto"/>
                <w:sz w:val="21"/>
                <w:szCs w:val="21"/>
                <w:lang w:val="en-US" w:eastAsia="zh-CN"/>
              </w:rPr>
              <w:t>有1</w:t>
            </w:r>
            <w:r>
              <w:rPr>
                <w:rFonts w:hint="eastAsia" w:ascii="宋体" w:hAnsi="宋体" w:eastAsia="宋体" w:cs="宋体"/>
                <w:color w:val="auto"/>
                <w:sz w:val="21"/>
                <w:szCs w:val="21"/>
              </w:rPr>
              <w:t>项</w:t>
            </w:r>
            <w:r>
              <w:rPr>
                <w:rFonts w:hint="eastAsia" w:ascii="宋体" w:hAnsi="宋体" w:eastAsia="宋体" w:cs="宋体"/>
                <w:color w:val="auto"/>
                <w:sz w:val="21"/>
                <w:szCs w:val="21"/>
                <w:lang w:val="en-US" w:eastAsia="zh-CN"/>
              </w:rPr>
              <w:t>得2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最高可得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7" w:hRule="atLeast"/>
          <w:jc w:val="center"/>
        </w:trPr>
        <w:tc>
          <w:tcPr>
            <w:tcW w:w="956" w:type="dxa"/>
            <w:tcBorders>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本地服务</w:t>
            </w:r>
          </w:p>
        </w:tc>
        <w:tc>
          <w:tcPr>
            <w:tcW w:w="927" w:type="dxa"/>
            <w:tcBorders>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636" w:type="dxa"/>
            <w:tcBorders>
              <w:left w:val="single" w:color="auto" w:sz="4" w:space="0"/>
              <w:right w:val="single" w:color="auto" w:sz="4" w:space="0"/>
            </w:tcBorders>
            <w:tcMar>
              <w:top w:w="170" w:type="dxa"/>
              <w:left w:w="108" w:type="dxa"/>
              <w:bottom w:w="170" w:type="dxa"/>
              <w:right w:w="108" w:type="dxa"/>
            </w:tcMar>
            <w:vAlign w:val="center"/>
          </w:tcPr>
          <w:p>
            <w:pPr>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投标人在</w:t>
            </w:r>
            <w:r>
              <w:rPr>
                <w:rFonts w:hint="eastAsia" w:ascii="宋体" w:hAnsi="宋体" w:eastAsia="宋体" w:cs="宋体"/>
                <w:color w:val="auto"/>
                <w:sz w:val="21"/>
                <w:szCs w:val="21"/>
                <w:lang w:val="en-US" w:eastAsia="zh-CN"/>
              </w:rPr>
              <w:t>四川省内</w:t>
            </w:r>
            <w:r>
              <w:rPr>
                <w:rFonts w:hint="eastAsia" w:ascii="宋体" w:hAnsi="宋体" w:eastAsia="宋体" w:cs="宋体"/>
                <w:color w:val="auto"/>
                <w:sz w:val="21"/>
                <w:szCs w:val="21"/>
              </w:rPr>
              <w:t>有优质的本地化服务团队，且常驻售后服务人员不得少于5人，须提供机构人员5人以上不少于6个月在职证明材料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2021年1月1日以来的社保或公积金证明材料）</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8519" w:type="dxa"/>
            <w:gridSpan w:val="3"/>
            <w:tcBorders>
              <w:left w:val="single" w:color="auto" w:sz="4" w:space="0"/>
              <w:right w:val="single" w:color="auto" w:sz="4" w:space="0"/>
            </w:tcBorders>
            <w:tcMar>
              <w:top w:w="170" w:type="dxa"/>
              <w:left w:w="108" w:type="dxa"/>
              <w:bottom w:w="170" w:type="dxa"/>
              <w:right w:w="108" w:type="dxa"/>
            </w:tcMar>
            <w:vAlign w:val="center"/>
          </w:tcPr>
          <w:p>
            <w:pPr>
              <w:pStyle w:val="11"/>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注：需提供业绩合同、证书复印件并加盖公章，</w:t>
            </w:r>
            <w:r>
              <w:rPr>
                <w:rFonts w:hint="eastAsia" w:ascii="宋体" w:hAnsi="宋体" w:eastAsia="宋体" w:cs="宋体"/>
                <w:b/>
                <w:bCs/>
                <w:color w:val="auto"/>
                <w:sz w:val="21"/>
                <w:szCs w:val="21"/>
              </w:rPr>
              <w:t>原件现场备查</w:t>
            </w:r>
            <w:r>
              <w:rPr>
                <w:rFonts w:hint="eastAsia" w:ascii="宋体" w:hAnsi="宋体" w:eastAsia="宋体" w:cs="宋体"/>
                <w:color w:val="auto"/>
                <w:sz w:val="21"/>
                <w:szCs w:val="21"/>
              </w:rPr>
              <w:t>。</w:t>
            </w:r>
          </w:p>
        </w:tc>
      </w:tr>
    </w:tbl>
    <w:p>
      <w:pPr>
        <w:pStyle w:val="2"/>
        <w:pageBreakBefore w:val="0"/>
        <w:kinsoku/>
        <w:wordWrap/>
        <w:overflowPunct/>
        <w:topLinePunct w:val="0"/>
        <w:bidi w:val="0"/>
        <w:adjustRightInd w:val="0"/>
        <w:snapToGrid w:val="0"/>
        <w:spacing w:line="240" w:lineRule="auto"/>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adjustRightInd w:val="0"/>
        <w:snapToGrid w:val="0"/>
        <w:spacing w:before="156" w:beforeLines="50" w:after="156" w:afterLines="50" w:line="360" w:lineRule="auto"/>
        <w:outlineLvl w:val="0"/>
        <w:rPr>
          <w:rFonts w:hint="eastAsia" w:ascii="宋体" w:hAnsi="宋体" w:eastAsia="宋体" w:cs="宋体"/>
          <w:bCs/>
          <w:color w:val="auto"/>
          <w:sz w:val="32"/>
          <w:szCs w:val="32"/>
          <w:lang w:val="en-US" w:eastAsia="zh-CN"/>
        </w:rPr>
      </w:pPr>
      <w:r>
        <w:rPr>
          <w:rFonts w:hint="eastAsia" w:ascii="宋体" w:hAnsi="宋体" w:eastAsia="宋体" w:cs="宋体"/>
          <w:b w:val="0"/>
          <w:bCs/>
          <w:color w:val="auto"/>
          <w:sz w:val="28"/>
          <w:szCs w:val="21"/>
        </w:rPr>
        <w:t>附件</w:t>
      </w:r>
      <w:r>
        <w:rPr>
          <w:rFonts w:hint="eastAsia" w:ascii="宋体" w:hAnsi="宋体" w:eastAsia="宋体" w:cs="宋体"/>
          <w:b w:val="0"/>
          <w:bCs/>
          <w:color w:val="auto"/>
          <w:sz w:val="28"/>
          <w:szCs w:val="21"/>
          <w:lang w:val="en-US" w:eastAsia="zh-CN"/>
        </w:rPr>
        <w:t>2</w:t>
      </w:r>
      <w:r>
        <w:rPr>
          <w:rFonts w:hint="eastAsia" w:ascii="宋体" w:hAnsi="宋体" w:eastAsia="宋体" w:cs="宋体"/>
          <w:b w:val="0"/>
          <w:bCs/>
          <w:color w:val="auto"/>
          <w:sz w:val="28"/>
          <w:szCs w:val="21"/>
        </w:rPr>
        <w:t>：</w:t>
      </w:r>
      <w:r>
        <w:rPr>
          <w:rFonts w:hint="eastAsia" w:ascii="宋体" w:hAnsi="宋体" w:eastAsia="宋体" w:cs="宋体"/>
          <w:b w:val="0"/>
          <w:bCs/>
          <w:color w:val="auto"/>
          <w:sz w:val="28"/>
          <w:szCs w:val="21"/>
          <w:lang w:val="en-US" w:eastAsia="zh-CN"/>
        </w:rPr>
        <w:t>投标文件装订顺序</w:t>
      </w:r>
    </w:p>
    <w:p>
      <w:pPr>
        <w:spacing w:line="0" w:lineRule="atLeas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资质证明文件装订顺序</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封面（公司、项目、联系人、联系方式）</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中国境内注册并具有独立法人资格的一般纳税人合法企业</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承诺函原件加盖鲜章</w:t>
      </w:r>
      <w:r>
        <w:rPr>
          <w:rFonts w:hint="eastAsia" w:ascii="宋体" w:hAnsi="宋体" w:eastAsia="宋体" w:cs="宋体"/>
          <w:bCs/>
          <w:color w:val="auto"/>
          <w:sz w:val="21"/>
          <w:szCs w:val="21"/>
          <w:lang w:eastAsia="zh-CN"/>
        </w:rPr>
        <w:t>）</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营业执照、税务登记证、组织机构代码证</w:t>
      </w:r>
      <w:r>
        <w:rPr>
          <w:rFonts w:hint="eastAsia" w:ascii="宋体" w:hAnsi="宋体" w:eastAsia="宋体" w:cs="宋体"/>
          <w:bCs/>
          <w:color w:val="auto"/>
          <w:sz w:val="21"/>
          <w:szCs w:val="21"/>
          <w:lang w:val="en-US" w:eastAsia="zh-CN"/>
        </w:rPr>
        <w:t>或</w:t>
      </w:r>
      <w:r>
        <w:rPr>
          <w:rFonts w:hint="eastAsia" w:ascii="宋体" w:hAnsi="宋体" w:eastAsia="宋体" w:cs="宋体"/>
          <w:bCs/>
          <w:color w:val="auto"/>
          <w:sz w:val="21"/>
          <w:szCs w:val="21"/>
        </w:rPr>
        <w:t>三证合一营业执照（复印件）</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法定代表人授权书（原件，格式见附件3）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法人、经办人身份证（复印件）</w:t>
      </w:r>
    </w:p>
    <w:p>
      <w:pPr>
        <w:numPr>
          <w:ilvl w:val="0"/>
          <w:numId w:val="5"/>
        </w:numPr>
        <w:tabs>
          <w:tab w:val="left" w:pos="0"/>
        </w:tabs>
        <w:spacing w:line="0" w:lineRule="atLeast"/>
        <w:ind w:left="425" w:leftChars="0" w:hanging="425" w:firstLineChars="0"/>
        <w:rPr>
          <w:rFonts w:hint="eastAsia" w:ascii="宋体" w:hAnsi="宋体" w:eastAsia="宋体" w:cs="宋体"/>
          <w:color w:val="auto"/>
          <w:lang w:eastAsia="zh-CN"/>
        </w:rPr>
      </w:pPr>
      <w:r>
        <w:rPr>
          <w:rFonts w:hint="eastAsia" w:ascii="宋体" w:hAnsi="宋体" w:eastAsia="宋体" w:cs="宋体"/>
          <w:bCs/>
          <w:color w:val="auto"/>
          <w:sz w:val="21"/>
          <w:szCs w:val="21"/>
        </w:rPr>
        <w:t>通过“信用中国”网站（www.creditchina.gov.cn）和“中国政府采购网”网站（www.ccgp.gov.cn）两渠道，查询投标人在递交响应文件截止时间之前的信用记录并保存信用记录结果网页截图。</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具有良好的商业信誉和健全的财务会计</w:t>
      </w:r>
      <w:r>
        <w:rPr>
          <w:rFonts w:hint="eastAsia" w:ascii="宋体" w:hAnsi="宋体" w:eastAsia="宋体" w:cs="宋体"/>
          <w:bCs/>
          <w:color w:val="auto"/>
          <w:sz w:val="21"/>
          <w:szCs w:val="21"/>
        </w:rPr>
        <w:t>制度</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提供证明材料或承诺函</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具有履行合同所必须的人员、设备和专业技术能力</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提供证明材</w:t>
      </w:r>
      <w:r>
        <w:rPr>
          <w:rFonts w:hint="eastAsia" w:ascii="宋体" w:hAnsi="宋体" w:eastAsia="宋体" w:cs="宋体"/>
          <w:bCs/>
          <w:color w:val="auto"/>
          <w:sz w:val="21"/>
          <w:szCs w:val="21"/>
          <w:lang w:val="en-US" w:eastAsia="zh-CN"/>
        </w:rPr>
        <w:t>料或承诺函</w:t>
      </w:r>
    </w:p>
    <w:p>
      <w:pPr>
        <w:numPr>
          <w:ilvl w:val="0"/>
          <w:numId w:val="5"/>
        </w:numPr>
        <w:tabs>
          <w:tab w:val="left" w:pos="0"/>
        </w:tabs>
        <w:spacing w:line="0" w:lineRule="atLeast"/>
        <w:ind w:left="425" w:leftChars="0" w:hanging="425"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反商业贿赂承诺书</w:t>
      </w:r>
    </w:p>
    <w:p>
      <w:pPr>
        <w:numPr>
          <w:ilvl w:val="0"/>
          <w:numId w:val="5"/>
        </w:numPr>
        <w:tabs>
          <w:tab w:val="left" w:pos="0"/>
        </w:tabs>
        <w:spacing w:line="0" w:lineRule="atLeast"/>
        <w:ind w:left="425" w:leftChars="0" w:hanging="425"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无围标、串标行为承诺书</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其他公司实力证明资料（可选）</w:t>
      </w:r>
    </w:p>
    <w:p>
      <w:pPr>
        <w:numPr>
          <w:ilvl w:val="0"/>
          <w:numId w:val="5"/>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0" w:firstLine="420"/>
        <w:textAlignment w:val="auto"/>
        <w:rPr>
          <w:rFonts w:hint="eastAsia" w:ascii="宋体" w:hAnsi="宋体" w:eastAsia="宋体" w:cs="宋体"/>
          <w:b/>
          <w:bCs/>
          <w:i w:val="0"/>
          <w:caps w:val="0"/>
          <w:color w:val="auto"/>
          <w:spacing w:val="0"/>
          <w:sz w:val="21"/>
          <w:szCs w:val="21"/>
          <w:shd w:val="clear" w:color="auto" w:fill="FFFFFF"/>
        </w:rPr>
      </w:pPr>
      <w:r>
        <w:rPr>
          <w:rFonts w:hint="eastAsia" w:ascii="宋体" w:hAnsi="宋体" w:eastAsia="宋体" w:cs="宋体"/>
          <w:b/>
          <w:bCs/>
          <w:color w:val="auto"/>
          <w:sz w:val="21"/>
          <w:szCs w:val="21"/>
        </w:rPr>
        <w:t>注：</w:t>
      </w:r>
      <w:r>
        <w:rPr>
          <w:rFonts w:hint="eastAsia" w:ascii="宋体" w:hAnsi="宋体" w:eastAsia="宋体" w:cs="宋体"/>
          <w:b/>
          <w:bCs/>
          <w:i w:val="0"/>
          <w:caps w:val="0"/>
          <w:color w:val="auto"/>
          <w:spacing w:val="0"/>
          <w:sz w:val="21"/>
          <w:szCs w:val="21"/>
          <w:shd w:val="clear" w:color="auto" w:fill="FFFFFF"/>
          <w:lang w:val="en-US" w:eastAsia="zh-CN"/>
        </w:rPr>
        <w:t>以上</w:t>
      </w:r>
      <w:r>
        <w:rPr>
          <w:rFonts w:hint="eastAsia" w:ascii="宋体" w:hAnsi="宋体" w:eastAsia="宋体" w:cs="宋体"/>
          <w:b/>
          <w:bCs/>
          <w:i w:val="0"/>
          <w:caps w:val="0"/>
          <w:color w:val="auto"/>
          <w:spacing w:val="0"/>
          <w:sz w:val="21"/>
          <w:szCs w:val="21"/>
          <w:shd w:val="clear" w:color="auto" w:fill="FFFFFF"/>
        </w:rPr>
        <w:t>资格证明文件，要求提供复印件的必须加盖单位印章，并在必要时提供原件备查。若提供的资格证明文件不全或不实，将导致其投标或中标资格被取消。</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spacing w:line="0" w:lineRule="atLeas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方案响应文件</w:t>
      </w:r>
      <w:r>
        <w:rPr>
          <w:rFonts w:hint="eastAsia" w:ascii="宋体" w:hAnsi="宋体" w:eastAsia="宋体" w:cs="宋体"/>
          <w:b/>
          <w:bCs/>
          <w:color w:val="auto"/>
          <w:sz w:val="32"/>
          <w:szCs w:val="32"/>
        </w:rPr>
        <w:t>装订顺序</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封面（公司、项目、联系人、联系方式）</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目录（</w:t>
      </w:r>
      <w:r>
        <w:rPr>
          <w:rFonts w:hint="eastAsia" w:ascii="宋体" w:hAnsi="宋体" w:eastAsia="宋体" w:cs="宋体"/>
          <w:bCs/>
          <w:color w:val="auto"/>
          <w:sz w:val="21"/>
          <w:szCs w:val="21"/>
        </w:rPr>
        <w:t>标记页码</w:t>
      </w:r>
      <w:r>
        <w:rPr>
          <w:rFonts w:hint="eastAsia" w:ascii="宋体" w:hAnsi="宋体" w:eastAsia="宋体" w:cs="宋体"/>
          <w:bCs/>
          <w:color w:val="auto"/>
          <w:sz w:val="21"/>
          <w:szCs w:val="21"/>
        </w:rPr>
        <w:t>）</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品目及报价表（格式见附件3）</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规格型号、配置及偏离表（格式见附件3）</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营业执照、税务登记证、组织机构代码证</w:t>
      </w:r>
      <w:r>
        <w:rPr>
          <w:rFonts w:hint="eastAsia" w:ascii="宋体" w:hAnsi="宋体" w:eastAsia="宋体" w:cs="宋体"/>
          <w:bCs/>
          <w:color w:val="auto"/>
          <w:sz w:val="21"/>
          <w:szCs w:val="21"/>
          <w:lang w:val="en-US" w:eastAsia="zh-CN"/>
        </w:rPr>
        <w:t>或</w:t>
      </w:r>
      <w:r>
        <w:rPr>
          <w:rFonts w:hint="eastAsia" w:ascii="宋体" w:hAnsi="宋体" w:eastAsia="宋体" w:cs="宋体"/>
          <w:bCs/>
          <w:color w:val="auto"/>
          <w:sz w:val="21"/>
          <w:szCs w:val="21"/>
        </w:rPr>
        <w:t>三证合一营业执照（复印件）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法定代表人授权书（原件，格式见附件3）暨经办人授权书，法人、经办人身份证（复印件）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售后服务</w:t>
      </w:r>
      <w:r>
        <w:rPr>
          <w:rFonts w:hint="eastAsia" w:ascii="宋体" w:hAnsi="宋体" w:eastAsia="宋体" w:cs="宋体"/>
          <w:bCs/>
          <w:color w:val="auto"/>
          <w:sz w:val="21"/>
          <w:szCs w:val="21"/>
          <w:lang w:val="en-US" w:eastAsia="zh-CN"/>
        </w:rPr>
        <w:t>方案</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业绩证明文件（近三年用户名单及联系人与联系方式及合同复印件或近三个月内送货复印件，格式见附件3）。</w:t>
      </w:r>
    </w:p>
    <w:p>
      <w:pPr>
        <w:numPr>
          <w:ilvl w:val="0"/>
          <w:numId w:val="6"/>
        </w:numPr>
        <w:tabs>
          <w:tab w:val="left" w:pos="0"/>
        </w:tabs>
        <w:spacing w:line="0" w:lineRule="atLeast"/>
        <w:ind w:left="425" w:leftChars="0" w:hanging="425" w:firstLineChars="0"/>
        <w:rPr>
          <w:rFonts w:hint="eastAsia" w:ascii="宋体" w:hAnsi="宋体" w:eastAsia="宋体" w:cs="宋体"/>
          <w:color w:val="auto"/>
        </w:rPr>
      </w:pPr>
      <w:r>
        <w:rPr>
          <w:rFonts w:hint="eastAsia" w:ascii="宋体" w:hAnsi="宋体" w:eastAsia="宋体" w:cs="宋体"/>
          <w:bCs/>
          <w:color w:val="auto"/>
          <w:sz w:val="21"/>
          <w:szCs w:val="21"/>
        </w:rPr>
        <w:t>产品说明书或与投标产品型号一致的产品彩页资料和其他有关介绍资料。</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产品质量和企业管理体系认证（考核），请提供的有效证明文件的复印或扫描件，质量管理体系认证包括FDA、CE、ISO等认证（提供中文翻译复印件）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（如有）</w:t>
      </w:r>
      <w:r>
        <w:rPr>
          <w:rFonts w:hint="eastAsia" w:ascii="宋体" w:hAnsi="宋体" w:eastAsia="宋体" w:cs="宋体"/>
          <w:bCs/>
          <w:color w:val="auto"/>
          <w:sz w:val="21"/>
          <w:szCs w:val="21"/>
        </w:rPr>
        <w:t>质量检测中心或法定机构出具的产品检测报告，性能自测报告，出厂检验报告的复印或扫描件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其他证书：产品在技术、节能、安全、环保和自主创新方面获得的认证证书或制造厂家和产品所获国家级荣誉称号等复印或扫描件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（如有）</w:t>
      </w:r>
      <w:r>
        <w:rPr>
          <w:rFonts w:hint="eastAsia" w:ascii="宋体" w:hAnsi="宋体" w:eastAsia="宋体" w:cs="宋体"/>
          <w:bCs/>
          <w:color w:val="auto"/>
          <w:sz w:val="21"/>
          <w:szCs w:val="21"/>
        </w:rPr>
        <w:t>产品执行标准（提供产品注册标准：YZB等资料供评审）</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提供进口原材料证明书或产品报关资料等</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物流公司配送，请提供配送证明材料：配送商基本情况、配送商营业执照复印件、配送商经营许可证复印件</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国家规定的其它相关资质证明文件或其它涉及特许经营许可的须提供相关证书。卫生许可证、药品经营许可证、生产批件或新药证书等；</w:t>
      </w:r>
    </w:p>
    <w:p>
      <w:pPr>
        <w:numPr>
          <w:ilvl w:val="0"/>
          <w:numId w:val="6"/>
        </w:numPr>
        <w:tabs>
          <w:tab w:val="left" w:pos="0"/>
        </w:tabs>
        <w:spacing w:line="0" w:lineRule="atLeast"/>
        <w:ind w:left="425" w:leftChars="0" w:hanging="425" w:firstLineChars="0"/>
        <w:rPr>
          <w:rFonts w:hint="eastAsia" w:ascii="宋体" w:hAnsi="宋体" w:eastAsia="宋体" w:cs="宋体"/>
          <w:color w:val="auto"/>
          <w:lang w:val="en-US" w:eastAsia="zh-CN"/>
        </w:rPr>
      </w:pPr>
      <w:r>
        <w:rPr>
          <w:rFonts w:hint="eastAsia" w:ascii="宋体" w:hAnsi="宋体" w:eastAsia="宋体" w:cs="宋体"/>
          <w:bCs/>
          <w:color w:val="auto"/>
          <w:sz w:val="21"/>
          <w:szCs w:val="21"/>
          <w:lang w:val="en-US" w:eastAsia="zh-CN"/>
        </w:rPr>
        <w:t>其他资料</w:t>
      </w:r>
    </w:p>
    <w:p>
      <w:pPr>
        <w:numPr>
          <w:ilvl w:val="0"/>
          <w:numId w:val="6"/>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封底</w:t>
      </w:r>
    </w:p>
    <w:p>
      <w:pPr>
        <w:spacing w:line="0" w:lineRule="atLeast"/>
        <w:rPr>
          <w:rFonts w:hint="eastAsia" w:ascii="宋体" w:hAnsi="宋体" w:eastAsia="宋体" w:cs="宋体"/>
          <w:b/>
          <w:color w:val="auto"/>
          <w:sz w:val="21"/>
          <w:szCs w:val="21"/>
        </w:rPr>
      </w:pPr>
      <w:r>
        <w:rPr>
          <w:rFonts w:hint="eastAsia" w:ascii="宋体" w:hAnsi="宋体" w:eastAsia="宋体" w:cs="宋体"/>
          <w:b/>
          <w:bCs/>
          <w:color w:val="auto"/>
          <w:sz w:val="21"/>
          <w:szCs w:val="21"/>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auto"/>
          <w:sz w:val="28"/>
          <w:szCs w:val="21"/>
        </w:rPr>
      </w:pPr>
      <w:r>
        <w:rPr>
          <w:rFonts w:hint="eastAsia" w:ascii="宋体" w:hAnsi="宋体" w:eastAsia="宋体" w:cs="宋体"/>
          <w:b w:val="0"/>
          <w:bCs/>
          <w:color w:val="auto"/>
          <w:sz w:val="28"/>
          <w:szCs w:val="21"/>
        </w:rPr>
        <w:br w:type="page"/>
      </w:r>
      <w:r>
        <w:rPr>
          <w:rFonts w:hint="eastAsia" w:ascii="宋体" w:hAnsi="宋体" w:eastAsia="宋体" w:cs="宋体"/>
          <w:b w:val="0"/>
          <w:bCs/>
          <w:color w:val="auto"/>
          <w:sz w:val="28"/>
          <w:szCs w:val="21"/>
        </w:rPr>
        <w:t>附件</w:t>
      </w:r>
      <w:r>
        <w:rPr>
          <w:rFonts w:hint="eastAsia" w:ascii="宋体" w:hAnsi="宋体" w:eastAsia="宋体" w:cs="宋体"/>
          <w:b w:val="0"/>
          <w:bCs/>
          <w:color w:val="auto"/>
          <w:sz w:val="28"/>
          <w:szCs w:val="21"/>
          <w:lang w:val="en-US" w:eastAsia="zh-CN"/>
        </w:rPr>
        <w:t>3</w:t>
      </w:r>
      <w:r>
        <w:rPr>
          <w:rFonts w:hint="eastAsia" w:ascii="宋体" w:hAnsi="宋体" w:eastAsia="宋体" w:cs="宋体"/>
          <w:b w:val="0"/>
          <w:bCs/>
          <w:color w:val="auto"/>
          <w:sz w:val="28"/>
          <w:szCs w:val="21"/>
        </w:rPr>
        <w:t>：</w:t>
      </w:r>
    </w:p>
    <w:p>
      <w:pPr>
        <w:spacing w:line="0" w:lineRule="atLeas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品目及报价表</w:t>
      </w:r>
    </w:p>
    <w:p>
      <w:pPr>
        <w:pStyle w:val="2"/>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ascii="宋体" w:hAnsi="宋体" w:eastAsia="宋体" w:cs="宋体"/>
          <w:color w:val="auto"/>
          <w:lang w:val="en-US" w:eastAsia="zh-CN"/>
        </w:rPr>
        <w:t>xxxxxxxxx</w:t>
      </w:r>
    </w:p>
    <w:tbl>
      <w:tblPr>
        <w:tblStyle w:val="8"/>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如有，核心产品名称、型号、品牌信息等</w:t>
            </w:r>
            <w:r>
              <w:rPr>
                <w:rFonts w:hint="eastAsia" w:ascii="宋体" w:hAnsi="宋体" w:eastAsia="宋体" w:cs="宋体"/>
                <w:color w:val="auto"/>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color w:val="auto"/>
                <w:sz w:val="21"/>
                <w:szCs w:val="21"/>
              </w:rPr>
            </w:pPr>
            <w:r>
              <w:rPr>
                <w:rFonts w:hint="eastAsia" w:ascii="宋体" w:hAnsi="宋体" w:eastAsia="宋体" w:cs="宋体"/>
                <w:b/>
                <w:color w:val="auto"/>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r>
    </w:tbl>
    <w:p>
      <w:pPr>
        <w:spacing w:line="4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4.“品目及报价表”需单独密封。</w:t>
      </w: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供应商名称（盖章）：        </w:t>
      </w: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法定代表人或授权代表（签字）：                   </w:t>
      </w:r>
      <w:r>
        <w:rPr>
          <w:rFonts w:hint="eastAsia" w:ascii="宋体" w:hAnsi="宋体" w:eastAsia="宋体" w:cs="宋体"/>
          <w:bCs/>
          <w:color w:val="auto"/>
          <w:sz w:val="24"/>
        </w:rPr>
        <w:t>联系方式：</w:t>
      </w:r>
      <w:r>
        <w:rPr>
          <w:rFonts w:hint="eastAsia" w:ascii="宋体" w:hAnsi="宋体" w:eastAsia="宋体" w:cs="宋体"/>
          <w:bCs/>
          <w:color w:val="auto"/>
          <w:sz w:val="24"/>
          <w:u w:val="single"/>
        </w:rPr>
        <w:t xml:space="preserve">        </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日期：</w:t>
      </w: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color w:val="auto"/>
          <w:sz w:val="32"/>
          <w:szCs w:val="32"/>
        </w:rPr>
        <w:t>规格型号、配置及偏离表</w:t>
      </w: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r>
    </w:tbl>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w:t>
      </w:r>
    </w:p>
    <w:p>
      <w:pPr>
        <w:spacing w:line="360" w:lineRule="auto"/>
        <w:ind w:firstLine="360" w:firstLineChars="150"/>
        <w:jc w:val="left"/>
        <w:rPr>
          <w:rFonts w:hint="eastAsia" w:ascii="宋体" w:hAnsi="宋体" w:eastAsia="宋体" w:cs="宋体"/>
          <w:bCs/>
          <w:color w:val="auto"/>
          <w:sz w:val="24"/>
        </w:rPr>
      </w:pPr>
      <w:r>
        <w:rPr>
          <w:rFonts w:hint="eastAsia" w:ascii="宋体" w:hAnsi="宋体" w:eastAsia="宋体" w:cs="宋体"/>
          <w:bCs/>
          <w:color w:val="auto"/>
          <w:sz w:val="24"/>
        </w:rPr>
        <w:t>日期:</w:t>
      </w:r>
    </w:p>
    <w:p>
      <w:pPr>
        <w:jc w:val="center"/>
        <w:rPr>
          <w:rFonts w:hint="eastAsia" w:ascii="宋体" w:hAnsi="宋体" w:eastAsia="宋体" w:cs="宋体"/>
          <w:b/>
          <w:bCs/>
          <w:color w:val="auto"/>
          <w:sz w:val="24"/>
        </w:rPr>
      </w:pP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用户情况表</w:t>
      </w:r>
    </w:p>
    <w:tbl>
      <w:tblPr>
        <w:tblStyle w:val="8"/>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pStyle w:val="2"/>
        <w:rPr>
          <w:rFonts w:hint="eastAsia" w:ascii="宋体" w:hAnsi="宋体" w:eastAsia="宋体" w:cs="宋体"/>
          <w:color w:val="auto"/>
        </w:rPr>
      </w:pP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w:t>
      </w:r>
    </w:p>
    <w:p>
      <w:pPr>
        <w:spacing w:line="360" w:lineRule="auto"/>
        <w:jc w:val="left"/>
        <w:rPr>
          <w:rFonts w:hint="eastAsia" w:ascii="宋体" w:hAnsi="宋体" w:eastAsia="宋体" w:cs="宋体"/>
          <w:b/>
          <w:color w:val="auto"/>
          <w:sz w:val="24"/>
        </w:rPr>
      </w:pPr>
      <w:r>
        <w:rPr>
          <w:rFonts w:hint="eastAsia" w:ascii="宋体" w:hAnsi="宋体" w:eastAsia="宋体" w:cs="宋体"/>
          <w:color w:val="auto"/>
          <w:sz w:val="24"/>
        </w:rPr>
        <w:t>日期</w:t>
      </w:r>
      <w:r>
        <w:rPr>
          <w:rFonts w:hint="eastAsia" w:ascii="宋体" w:hAnsi="宋体" w:eastAsia="宋体" w:cs="宋体"/>
          <w:b/>
          <w:color w:val="auto"/>
          <w:sz w:val="24"/>
        </w:rPr>
        <w:t>:</w:t>
      </w:r>
    </w:p>
    <w:p>
      <w:pPr>
        <w:spacing w:line="360" w:lineRule="auto"/>
        <w:ind w:firstLine="451" w:firstLineChars="187"/>
        <w:jc w:val="left"/>
        <w:rPr>
          <w:rFonts w:hint="eastAsia" w:ascii="宋体" w:hAnsi="宋体" w:eastAsia="宋体" w:cs="宋体"/>
          <w:b/>
          <w:color w:val="auto"/>
          <w:sz w:val="24"/>
        </w:rPr>
      </w:pPr>
    </w:p>
    <w:p>
      <w:pPr>
        <w:spacing w:line="360" w:lineRule="auto"/>
        <w:ind w:firstLine="451" w:firstLineChars="187"/>
        <w:jc w:val="left"/>
        <w:rPr>
          <w:rFonts w:hint="eastAsia" w:ascii="宋体" w:hAnsi="宋体" w:eastAsia="宋体" w:cs="宋体"/>
          <w:b/>
          <w:color w:val="auto"/>
          <w:sz w:val="24"/>
        </w:rPr>
      </w:pPr>
    </w:p>
    <w:p>
      <w:pPr>
        <w:pStyle w:val="3"/>
        <w:tabs>
          <w:tab w:val="left" w:pos="540"/>
        </w:tabs>
        <w:ind w:left="720" w:hanging="720"/>
        <w:jc w:val="center"/>
        <w:rPr>
          <w:rFonts w:hint="eastAsia" w:ascii="宋体" w:hAnsi="宋体" w:eastAsia="宋体" w:cs="宋体"/>
          <w:b w:val="0"/>
          <w:color w:val="auto"/>
          <w:lang w:val="zh-CN"/>
        </w:rPr>
      </w:pPr>
      <w:bookmarkStart w:id="0" w:name="_Toc95295163"/>
      <w:bookmarkStart w:id="1" w:name="_Toc237343703"/>
      <w:bookmarkStart w:id="2" w:name="_Toc174767233"/>
      <w:r>
        <w:rPr>
          <w:rFonts w:hint="eastAsia" w:ascii="宋体" w:hAnsi="宋体" w:eastAsia="宋体" w:cs="宋体"/>
          <w:color w:val="auto"/>
          <w:lang w:val="zh-CN"/>
        </w:rPr>
        <w:t>法定代表人身份授权书</w:t>
      </w:r>
    </w:p>
    <w:p>
      <w:pPr>
        <w:tabs>
          <w:tab w:val="left" w:pos="6300"/>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（采购单位名称）：</w:t>
      </w:r>
    </w:p>
    <w:p>
      <w:pPr>
        <w:tabs>
          <w:tab w:val="left" w:pos="720"/>
          <w:tab w:val="left" w:pos="6300"/>
        </w:tabs>
        <w:spacing w:line="360" w:lineRule="auto"/>
        <w:ind w:firstLine="573"/>
        <w:rPr>
          <w:rFonts w:hint="eastAsia" w:ascii="宋体" w:hAnsi="宋体" w:eastAsia="宋体" w:cs="宋体"/>
          <w:color w:val="auto"/>
          <w:sz w:val="24"/>
          <w:u w:val="single"/>
          <w:lang w:val="zh-CN"/>
        </w:rPr>
      </w:pPr>
      <w:r>
        <w:rPr>
          <w:rFonts w:hint="eastAsia" w:ascii="宋体" w:hAnsi="宋体" w:eastAsia="宋体" w:cs="宋体"/>
          <w:color w:val="auto"/>
          <w:sz w:val="24"/>
          <w:lang w:val="zh-CN"/>
        </w:rPr>
        <w:t xml:space="preserve">   本授权声明：</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（投标人名称）</w:t>
      </w:r>
      <w:r>
        <w:rPr>
          <w:rFonts w:hint="eastAsia" w:ascii="宋体" w:hAnsi="宋体" w:eastAsia="宋体" w:cs="宋体"/>
          <w:color w:val="auto"/>
          <w:sz w:val="24"/>
          <w:u w:val="single"/>
          <w:lang w:val="zh-CN"/>
        </w:rPr>
        <w:t xml:space="preserve">           </w:t>
      </w:r>
    </w:p>
    <w:p>
      <w:pPr>
        <w:tabs>
          <w:tab w:val="left" w:pos="720"/>
          <w:tab w:val="left" w:pos="6300"/>
        </w:tabs>
        <w:spacing w:line="360" w:lineRule="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（法定代表人姓名、职务）授权</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（被授权人姓名、职务）为我方</w:t>
      </w:r>
      <w:r>
        <w:rPr>
          <w:rFonts w:hint="eastAsia" w:ascii="宋体" w:hAnsi="宋体" w:eastAsia="宋体" w:cs="宋体"/>
          <w:color w:val="auto"/>
          <w:sz w:val="24"/>
          <w:u w:val="single"/>
          <w:lang w:val="zh-CN"/>
        </w:rPr>
        <w:t xml:space="preserve"> “                                          ”</w:t>
      </w:r>
      <w:r>
        <w:rPr>
          <w:rFonts w:hint="eastAsia" w:ascii="宋体" w:hAnsi="宋体" w:eastAsia="宋体" w:cs="宋体"/>
          <w:color w:val="auto"/>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特此声明。</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法定代表人签字：</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授权代表签字：</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 xml:space="preserve">      （加盖公章）</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日期：</w:t>
      </w:r>
    </w:p>
    <w:p>
      <w:pPr>
        <w:numPr>
          <w:ilvl w:val="0"/>
          <w:numId w:val="7"/>
        </w:numPr>
        <w:tabs>
          <w:tab w:val="left" w:pos="6300"/>
        </w:tabs>
        <w:spacing w:line="360" w:lineRule="auto"/>
        <w:rPr>
          <w:rFonts w:hint="eastAsia" w:ascii="宋体" w:hAnsi="宋体" w:eastAsia="宋体" w:cs="宋体"/>
          <w:color w:val="auto"/>
          <w:sz w:val="24"/>
        </w:rPr>
      </w:pPr>
      <w:r>
        <w:rPr>
          <w:rFonts w:hint="eastAsia" w:ascii="宋体" w:hAnsi="宋体" w:eastAsia="宋体" w:cs="宋体"/>
          <w:color w:val="auto"/>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b/>
          <w:bCs/>
          <w:color w:val="auto"/>
          <w:kern w:val="2"/>
          <w:sz w:val="32"/>
          <w:szCs w:val="32"/>
          <w:lang w:val="zh-CN" w:eastAsia="zh-CN" w:bidi="ar-SA"/>
        </w:rPr>
      </w:pPr>
      <w:r>
        <w:rPr>
          <w:rFonts w:hint="eastAsia" w:ascii="宋体" w:hAnsi="宋体" w:eastAsia="宋体" w:cs="宋体"/>
          <w:color w:val="auto"/>
          <w:sz w:val="24"/>
        </w:rPr>
        <w:br w:type="page"/>
      </w:r>
      <w:r>
        <w:rPr>
          <w:rFonts w:hint="eastAsia" w:ascii="宋体" w:hAnsi="宋体" w:eastAsia="宋体" w:cs="宋体"/>
          <w:b/>
          <w:bCs/>
          <w:color w:val="auto"/>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（生产厂家名称）是在</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（被授权公司名称）是在</w:t>
      </w:r>
      <w:r>
        <w:rPr>
          <w:rFonts w:hint="eastAsia" w:ascii="宋体" w:hAnsi="宋体" w:eastAsia="宋体" w:cs="宋体"/>
          <w:color w:val="auto"/>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（生产厂家名称）授权（被授权公司名称）为我方制造的品牌产品的合法销售商（授权销售的产品清单附后），参加_</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color w:val="auto"/>
          <w:sz w:val="24"/>
        </w:rPr>
      </w:pPr>
    </w:p>
    <w:p>
      <w:pPr>
        <w:tabs>
          <w:tab w:val="left" w:pos="6645"/>
        </w:tabs>
        <w:spacing w:line="360" w:lineRule="auto"/>
        <w:rPr>
          <w:rFonts w:hint="eastAsia" w:ascii="宋体" w:hAnsi="宋体" w:eastAsia="宋体" w:cs="宋体"/>
          <w:b w:val="0"/>
          <w:bCs/>
          <w:color w:val="auto"/>
          <w:sz w:val="28"/>
          <w:szCs w:val="21"/>
        </w:rPr>
      </w:pPr>
      <w:r>
        <w:rPr>
          <w:rFonts w:hint="eastAsia" w:ascii="宋体" w:hAnsi="宋体" w:eastAsia="宋体" w:cs="宋体"/>
          <w:color w:val="auto"/>
          <w:sz w:val="32"/>
          <w:szCs w:val="32"/>
        </w:rPr>
        <w:br w:type="page"/>
      </w:r>
      <w:r>
        <w:rPr>
          <w:rFonts w:hint="eastAsia" w:ascii="宋体" w:hAnsi="宋体" w:eastAsia="宋体" w:cs="宋体"/>
          <w:b w:val="0"/>
          <w:bCs/>
          <w:color w:val="auto"/>
          <w:sz w:val="28"/>
          <w:szCs w:val="21"/>
        </w:rPr>
        <w:t>附件</w:t>
      </w:r>
      <w:r>
        <w:rPr>
          <w:rFonts w:hint="eastAsia" w:ascii="宋体" w:hAnsi="宋体" w:eastAsia="宋体" w:cs="宋体"/>
          <w:b w:val="0"/>
          <w:bCs/>
          <w:color w:val="auto"/>
          <w:sz w:val="28"/>
          <w:szCs w:val="21"/>
          <w:lang w:val="en-US" w:eastAsia="zh-CN"/>
        </w:rPr>
        <w:t>4</w:t>
      </w:r>
      <w:r>
        <w:rPr>
          <w:rFonts w:hint="eastAsia" w:ascii="宋体" w:hAnsi="宋体" w:eastAsia="宋体" w:cs="宋体"/>
          <w:b w:val="0"/>
          <w:bCs/>
          <w:color w:val="auto"/>
          <w:sz w:val="28"/>
          <w:szCs w:val="21"/>
        </w:rPr>
        <w:t>：</w:t>
      </w:r>
    </w:p>
    <w:p>
      <w:pPr>
        <w:tabs>
          <w:tab w:val="left" w:pos="6645"/>
        </w:tabs>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 采购物资名称：  </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承诺企业名称（公章）                     法人代表或委托代理人（承诺人）  </w:t>
      </w:r>
    </w:p>
    <w:p>
      <w:pPr>
        <w:rPr>
          <w:rFonts w:hint="eastAsia" w:ascii="宋体" w:hAnsi="宋体" w:eastAsia="宋体" w:cs="宋体"/>
          <w:color w:val="auto"/>
          <w:sz w:val="24"/>
          <w:szCs w:val="24"/>
        </w:rPr>
      </w:pPr>
    </w:p>
    <w:p>
      <w:pPr>
        <w:rPr>
          <w:rFonts w:hint="eastAsia" w:ascii="宋体" w:hAnsi="宋体" w:eastAsia="宋体" w:cs="宋体"/>
          <w:b w:val="0"/>
          <w:bCs/>
          <w:color w:val="auto"/>
          <w:sz w:val="28"/>
          <w:szCs w:val="21"/>
          <w:lang w:val="en-US" w:eastAsia="zh-CN"/>
        </w:rPr>
      </w:pPr>
      <w:r>
        <w:rPr>
          <w:rFonts w:hint="eastAsia" w:ascii="宋体" w:hAnsi="宋体" w:eastAsia="宋体" w:cs="宋体"/>
          <w:color w:val="auto"/>
        </w:rPr>
        <w:br w:type="page"/>
      </w:r>
      <w:r>
        <w:rPr>
          <w:rFonts w:hint="eastAsia" w:ascii="宋体" w:hAnsi="宋体" w:eastAsia="宋体" w:cs="宋体"/>
          <w:b w:val="0"/>
          <w:bCs/>
          <w:color w:val="auto"/>
          <w:sz w:val="28"/>
          <w:szCs w:val="21"/>
          <w:lang w:val="en-US" w:eastAsia="zh-CN"/>
        </w:rPr>
        <w:t>附件5：</w:t>
      </w:r>
    </w:p>
    <w:p>
      <w:pPr>
        <w:tabs>
          <w:tab w:val="left" w:pos="6645"/>
        </w:tabs>
        <w:spacing w:line="360" w:lineRule="auto"/>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rPr>
          <w:rFonts w:hint="eastAsia" w:ascii="宋体" w:hAnsi="宋体" w:eastAsia="宋体" w:cs="宋体"/>
          <w:color w:val="auto"/>
          <w:sz w:val="28"/>
          <w:szCs w:val="28"/>
          <w:lang w:val="en-US" w:eastAsia="zh-CN"/>
        </w:rPr>
      </w:pPr>
    </w:p>
    <w:p>
      <w:pPr>
        <w:pStyle w:val="4"/>
        <w:rPr>
          <w:rFonts w:hint="eastAsia" w:ascii="宋体" w:hAnsi="宋体" w:eastAsia="宋体" w:cs="宋体"/>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F10B5673"/>
    <w:multiLevelType w:val="singleLevel"/>
    <w:tmpl w:val="F10B5673"/>
    <w:lvl w:ilvl="0" w:tentative="0">
      <w:start w:val="1"/>
      <w:numFmt w:val="decimal"/>
      <w:lvlText w:val="%1."/>
      <w:lvlJc w:val="left"/>
      <w:pPr>
        <w:tabs>
          <w:tab w:val="left" w:pos="312"/>
        </w:tabs>
      </w:pPr>
    </w:lvl>
  </w:abstractNum>
  <w:abstractNum w:abstractNumId="3">
    <w:nsid w:val="34F55C09"/>
    <w:multiLevelType w:val="singleLevel"/>
    <w:tmpl w:val="34F55C09"/>
    <w:lvl w:ilvl="0" w:tentative="0">
      <w:start w:val="1"/>
      <w:numFmt w:val="decimal"/>
      <w:lvlText w:val="%1."/>
      <w:lvlJc w:val="left"/>
      <w:pPr>
        <w:ind w:left="425" w:hanging="425"/>
      </w:pPr>
      <w:rPr>
        <w:rFonts w:hint="default"/>
      </w:r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40B35F6E"/>
    <w:multiLevelType w:val="multilevel"/>
    <w:tmpl w:val="40B35F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GEyZTlhMzg1ZDQ2MTYyMzZhOGI4MjA0NTM4N2UifQ=="/>
  </w:docVars>
  <w:rsids>
    <w:rsidRoot w:val="00000000"/>
    <w:rsid w:val="0FDA444D"/>
    <w:rsid w:val="10E63685"/>
    <w:rsid w:val="1DB16E74"/>
    <w:rsid w:val="259B36A2"/>
    <w:rsid w:val="2CD019A7"/>
    <w:rsid w:val="31D86C4F"/>
    <w:rsid w:val="37CB54AB"/>
    <w:rsid w:val="3F2C5980"/>
    <w:rsid w:val="454105F4"/>
    <w:rsid w:val="54F53F37"/>
    <w:rsid w:val="58584A9C"/>
    <w:rsid w:val="5EA634E6"/>
    <w:rsid w:val="60101069"/>
    <w:rsid w:val="6982165C"/>
    <w:rsid w:val="74BF1D9B"/>
    <w:rsid w:val="7FD95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Plain Text"/>
    <w:basedOn w:val="1"/>
    <w:qFormat/>
    <w:uiPriority w:val="0"/>
    <w:rPr>
      <w:rFonts w:ascii="宋体" w:hAnsi="Courier New"/>
    </w:rPr>
  </w:style>
  <w:style w:type="paragraph" w:styleId="5">
    <w:name w:val="footer"/>
    <w:basedOn w:val="1"/>
    <w:next w:val="1"/>
    <w:unhideWhenUsed/>
    <w:qFormat/>
    <w:uiPriority w:val="0"/>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List Paragraph"/>
    <w:basedOn w:val="1"/>
    <w:qFormat/>
    <w:uiPriority w:val="34"/>
    <w:pPr>
      <w:ind w:firstLine="420" w:firstLineChars="200"/>
    </w:pPr>
  </w:style>
  <w:style w:type="paragraph" w:customStyle="1" w:styleId="11">
    <w:name w:val="No Spacing"/>
    <w:qFormat/>
    <w:uiPriority w:val="1"/>
    <w:pPr>
      <w:widowControl w:val="0"/>
      <w:spacing w:line="360" w:lineRule="auto"/>
      <w:jc w:val="both"/>
    </w:pPr>
    <w:rPr>
      <w:rFonts w:eastAsia="仿宋" w:asciiTheme="minorHAnsi" w:hAnsiTheme="minorHAnsi" w:cstheme="minorBidi"/>
      <w:kern w:val="2"/>
      <w:sz w:val="28"/>
      <w:szCs w:val="22"/>
      <w:lang w:val="en-US" w:eastAsia="zh-CN" w:bidi="ar-SA"/>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1602</Words>
  <Characters>1713</Characters>
  <Lines>0</Lines>
  <Paragraphs>0</Paragraphs>
  <TotalTime>137</TotalTime>
  <ScaleCrop>false</ScaleCrop>
  <LinksUpToDate>false</LinksUpToDate>
  <CharactersWithSpaces>1715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2022-06-17T14:54:00Z</dcterms:created>
  <dc:creator>陈飞宇</dc:creator>
  <cp:lastModifiedBy>胡瑞</cp:lastModifiedBy>
  <dcterms:modified xsi:type="dcterms:W3CDTF">2022-07-04T06:04:41Z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A09FB8868E434E2EAA375C75D1505541</vt:lpwstr>
  </property>
</Properties>
</file>