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项目采购要求：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1.质量标准：全片风格要求色彩靓丽、简洁明快，思路清晰、富有活 力，文字精练、过渡自然。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 xml:space="preserve">.视频长度：三分钟；用于全渠道投放。成立专门工作组，拥有拍摄、编辑、撰稿、字幕、配音等专业条件。采用广播级数字高清摄像机拍摄，综合运用灯光技术， 实拍素材不少于 80%，由普通话一级甲等资质配音员配音。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.成片格式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封装格式为 MP4 ；分辨率不低于 1080P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1024×576（16:9）；声音收声完整清晰，解说、同期声、效果声、音乐分 声道输出。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YzA1MWE5MTc0ZjA2OTY3ZmQ2ZjQzYzVkMzJmYzQifQ=="/>
  </w:docVars>
  <w:rsids>
    <w:rsidRoot w:val="00000000"/>
    <w:rsid w:val="188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2022-07-12T07:31:30Z</dcterms:created>
  <dc:creator>Administrator</dc:creator>
  <cp:lastModifiedBy>张湄</cp:lastModifiedBy>
  <dcterms:modified xsi:type="dcterms:W3CDTF">2022-07-12T07:33:18Z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32C1912FC20B41C581B4C41652D06AC9</vt:lpwstr>
  </property>
</Properties>
</file>