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一、采购数量：</w:t>
      </w:r>
      <w:r w:rsidR="00823CC7">
        <w:rPr>
          <w:rFonts w:asciiTheme="minorEastAsia" w:hAnsiTheme="minorEastAsia" w:hint="eastAsia"/>
          <w:sz w:val="24"/>
          <w:szCs w:val="24"/>
        </w:rPr>
        <w:t>1台。</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w:t>
      </w:r>
      <w:r w:rsidR="009B186F">
        <w:rPr>
          <w:rFonts w:asciiTheme="minorEastAsia" w:hAnsiTheme="minorEastAsia" w:hint="eastAsia"/>
          <w:b/>
          <w:sz w:val="24"/>
          <w:szCs w:val="24"/>
        </w:rPr>
        <w:t>最高限价</w:t>
      </w:r>
      <w:r w:rsidRPr="00E42E77">
        <w:rPr>
          <w:rFonts w:asciiTheme="minorEastAsia" w:hAnsiTheme="minorEastAsia" w:hint="eastAsia"/>
          <w:b/>
          <w:sz w:val="24"/>
          <w:szCs w:val="24"/>
        </w:rPr>
        <w:t>：</w:t>
      </w:r>
      <w:r w:rsidR="00823CC7">
        <w:rPr>
          <w:rFonts w:asciiTheme="minorEastAsia" w:hAnsiTheme="minorEastAsia" w:hint="eastAsia"/>
          <w:sz w:val="24"/>
          <w:szCs w:val="24"/>
        </w:rPr>
        <w:t>5</w:t>
      </w:r>
      <w:r w:rsidR="00833CCF">
        <w:rPr>
          <w:rFonts w:asciiTheme="minorEastAsia" w:hAnsiTheme="minorEastAsia" w:hint="eastAsia"/>
          <w:sz w:val="24"/>
          <w:szCs w:val="24"/>
        </w:rPr>
        <w:t>万</w:t>
      </w:r>
      <w:r w:rsidRPr="00E42E77">
        <w:rPr>
          <w:rFonts w:asciiTheme="minorEastAsia" w:hAnsiTheme="minorEastAsia" w:hint="eastAsia"/>
          <w:sz w:val="24"/>
          <w:szCs w:val="24"/>
        </w:rPr>
        <w:t>元</w:t>
      </w:r>
      <w:r w:rsidR="007A6A05" w:rsidRPr="00E42E77">
        <w:rPr>
          <w:rFonts w:asciiTheme="minorEastAsia" w:hAnsiTheme="minorEastAsia" w:hint="eastAsia"/>
          <w:sz w:val="24"/>
          <w:szCs w:val="24"/>
        </w:rPr>
        <w:t>。</w:t>
      </w:r>
    </w:p>
    <w:p w:rsidR="00AD5571"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w:t>
      </w:r>
      <w:r w:rsidR="00B512E5">
        <w:rPr>
          <w:rFonts w:asciiTheme="minorEastAsia" w:hAnsiTheme="minorEastAsia" w:hint="eastAsia"/>
          <w:b/>
          <w:sz w:val="24"/>
          <w:szCs w:val="24"/>
        </w:rPr>
        <w:t>参数</w:t>
      </w:r>
      <w:r w:rsidR="00064457" w:rsidRPr="00E42E77">
        <w:rPr>
          <w:rFonts w:asciiTheme="minorEastAsia" w:hAnsiTheme="minorEastAsia" w:hint="eastAsia"/>
          <w:b/>
          <w:sz w:val="24"/>
          <w:szCs w:val="24"/>
        </w:rPr>
        <w:t>要求</w:t>
      </w:r>
      <w:r w:rsidR="007A6A05" w:rsidRPr="00E42E77">
        <w:rPr>
          <w:rFonts w:asciiTheme="minorEastAsia" w:hAnsiTheme="minorEastAsia" w:hint="eastAsia"/>
          <w:b/>
          <w:sz w:val="24"/>
          <w:szCs w:val="24"/>
        </w:rPr>
        <w:t>：</w:t>
      </w:r>
    </w:p>
    <w:p w:rsidR="00823CC7" w:rsidRPr="00823CC7" w:rsidRDefault="00823CC7" w:rsidP="009B172C">
      <w:pPr>
        <w:spacing w:line="360" w:lineRule="auto"/>
        <w:rPr>
          <w:rFonts w:ascii="宋体" w:hAnsi="宋体" w:hint="eastAsia"/>
          <w:sz w:val="24"/>
          <w:szCs w:val="24"/>
        </w:rPr>
      </w:pPr>
      <w:r w:rsidRPr="00823CC7">
        <w:rPr>
          <w:rFonts w:ascii="宋体" w:hAnsi="宋体" w:hint="eastAsia"/>
          <w:sz w:val="24"/>
          <w:szCs w:val="24"/>
        </w:rPr>
        <w:t>1.彩色液晶显示屏≥</w:t>
      </w:r>
      <w:r w:rsidRPr="00823CC7">
        <w:rPr>
          <w:rFonts w:ascii="宋体" w:hAnsi="宋体"/>
          <w:sz w:val="24"/>
          <w:szCs w:val="24"/>
        </w:rPr>
        <w:t>7</w:t>
      </w:r>
      <w:r w:rsidRPr="00823CC7">
        <w:rPr>
          <w:rFonts w:ascii="宋体" w:hAnsi="宋体" w:hint="eastAsia"/>
          <w:sz w:val="24"/>
          <w:szCs w:val="24"/>
        </w:rPr>
        <w:t>英寸, 分辨率≥800×600，可显示≥</w:t>
      </w:r>
      <w:r w:rsidRPr="00823CC7">
        <w:rPr>
          <w:rFonts w:ascii="宋体" w:hAnsi="宋体"/>
          <w:sz w:val="24"/>
          <w:szCs w:val="24"/>
        </w:rPr>
        <w:t>3</w:t>
      </w:r>
      <w:r w:rsidRPr="00823CC7">
        <w:rPr>
          <w:rFonts w:ascii="宋体" w:hAnsi="宋体" w:hint="eastAsia"/>
          <w:sz w:val="24"/>
          <w:szCs w:val="24"/>
        </w:rPr>
        <w:t>通道监护参数波形。</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★2.具备手动除颤、心电监护、呼吸监护、自动体外除颤功能。</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★3.除颤采用双相波技术，具备自动阻抗补偿功能。</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4.体外除颤分为同步和非同步两种方式，能量分24</w:t>
      </w:r>
      <w:proofErr w:type="gramStart"/>
      <w:r w:rsidRPr="00823CC7">
        <w:rPr>
          <w:rFonts w:ascii="宋体" w:hAnsi="宋体" w:hint="eastAsia"/>
          <w:sz w:val="24"/>
          <w:szCs w:val="24"/>
        </w:rPr>
        <w:t>档</w:t>
      </w:r>
      <w:proofErr w:type="gramEnd"/>
      <w:r w:rsidRPr="00823CC7">
        <w:rPr>
          <w:rFonts w:ascii="宋体" w:hAnsi="宋体" w:hint="eastAsia"/>
          <w:sz w:val="24"/>
          <w:szCs w:val="24"/>
        </w:rPr>
        <w:t>以上，可通过体外电极板进行能量选择，最大能量为360J。</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5.体外除颤电极板手柄支持充电、放电能量选择，具备充电完成指示灯。</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6.除颤充电迅速，充电至200J≤4秒，充电至360J≤5秒。</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★7.支持病人接触状态和阻抗值实时显示。</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★8.标配体外起搏功能，起搏分为固定和按需两种模式，具备降速起搏功能。</w:t>
      </w:r>
    </w:p>
    <w:p w:rsidR="00823CC7" w:rsidRPr="00823CC7" w:rsidRDefault="00823CC7" w:rsidP="009B172C">
      <w:pPr>
        <w:spacing w:line="360" w:lineRule="auto"/>
        <w:rPr>
          <w:rFonts w:ascii="宋体" w:hAnsi="宋体" w:hint="eastAsia"/>
          <w:sz w:val="24"/>
          <w:szCs w:val="24"/>
        </w:rPr>
      </w:pPr>
      <w:r w:rsidRPr="00823CC7">
        <w:rPr>
          <w:rFonts w:ascii="宋体" w:hAnsi="宋体" w:hint="eastAsia"/>
          <w:sz w:val="24"/>
          <w:szCs w:val="24"/>
        </w:rPr>
        <w:t>★9.</w:t>
      </w:r>
      <w:proofErr w:type="gramStart"/>
      <w:r w:rsidRPr="00823CC7">
        <w:rPr>
          <w:rFonts w:ascii="宋体" w:hAnsi="宋体" w:hint="eastAsia"/>
          <w:sz w:val="24"/>
          <w:szCs w:val="24"/>
        </w:rPr>
        <w:t>标配</w:t>
      </w:r>
      <w:proofErr w:type="gramEnd"/>
      <w:r w:rsidRPr="00823CC7">
        <w:rPr>
          <w:rFonts w:ascii="宋体" w:hAnsi="宋体" w:hint="eastAsia"/>
          <w:sz w:val="24"/>
          <w:szCs w:val="24"/>
        </w:rPr>
        <w:t>CPR辅助功能，提供即时按压反馈。</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10.心电监护时支持≥8种心律失常分析。</w:t>
      </w:r>
    </w:p>
    <w:p w:rsidR="00823CC7" w:rsidRPr="00823CC7" w:rsidRDefault="00823CC7" w:rsidP="009B172C">
      <w:pPr>
        <w:spacing w:line="360" w:lineRule="auto"/>
        <w:rPr>
          <w:rFonts w:ascii="宋体" w:hAnsi="宋体"/>
          <w:sz w:val="24"/>
          <w:szCs w:val="24"/>
        </w:rPr>
      </w:pPr>
      <w:r w:rsidRPr="00823CC7">
        <w:rPr>
          <w:rFonts w:ascii="宋体" w:hAnsi="宋体" w:hint="eastAsia"/>
          <w:sz w:val="24"/>
          <w:szCs w:val="24"/>
        </w:rPr>
        <w:t>11.支持存储≥24小时连续ECG波形，数据可导出至电脑查看。</w:t>
      </w:r>
    </w:p>
    <w:p w:rsidR="00823CC7" w:rsidRPr="00823CC7" w:rsidRDefault="00823CC7" w:rsidP="009B172C">
      <w:pPr>
        <w:spacing w:line="360" w:lineRule="auto"/>
        <w:rPr>
          <w:rFonts w:ascii="宋体" w:hAnsi="宋体" w:hint="eastAsia"/>
          <w:sz w:val="24"/>
          <w:szCs w:val="24"/>
        </w:rPr>
      </w:pPr>
      <w:r w:rsidRPr="00823CC7">
        <w:rPr>
          <w:rFonts w:ascii="宋体" w:hAnsi="宋体" w:hint="eastAsia"/>
          <w:sz w:val="24"/>
          <w:szCs w:val="24"/>
        </w:rPr>
        <w:t>12.内置≥50mm记录仪，自动打印除颤记录。</w:t>
      </w:r>
    </w:p>
    <w:p w:rsidR="00823CC7" w:rsidRPr="00823CC7" w:rsidRDefault="00823CC7" w:rsidP="009B172C">
      <w:pPr>
        <w:spacing w:line="360" w:lineRule="auto"/>
        <w:rPr>
          <w:rFonts w:ascii="宋体" w:hAnsi="宋体" w:hint="eastAsia"/>
          <w:sz w:val="24"/>
          <w:szCs w:val="24"/>
        </w:rPr>
      </w:pPr>
      <w:r w:rsidRPr="00823CC7">
        <w:rPr>
          <w:rFonts w:ascii="宋体" w:hAnsi="宋体" w:hint="eastAsia"/>
          <w:sz w:val="24"/>
          <w:szCs w:val="24"/>
        </w:rPr>
        <w:t>13.具备大能量自检、按键、屏幕自检功能。</w:t>
      </w:r>
    </w:p>
    <w:p w:rsidR="00823CC7" w:rsidRPr="00823CC7" w:rsidRDefault="00823CC7" w:rsidP="009B172C">
      <w:pPr>
        <w:spacing w:line="360" w:lineRule="auto"/>
        <w:rPr>
          <w:rFonts w:ascii="宋体" w:hAnsi="宋体" w:hint="eastAsia"/>
          <w:sz w:val="24"/>
          <w:szCs w:val="24"/>
        </w:rPr>
      </w:pPr>
      <w:r w:rsidRPr="00823CC7">
        <w:rPr>
          <w:rFonts w:ascii="宋体" w:hAnsi="宋体" w:hint="eastAsia"/>
          <w:sz w:val="24"/>
          <w:szCs w:val="24"/>
        </w:rPr>
        <w:t>14.具备录音功能，最大支持≥90分钟录音存储。</w:t>
      </w:r>
    </w:p>
    <w:p w:rsidR="009A3EE5" w:rsidRPr="00E42E77" w:rsidRDefault="00114254" w:rsidP="00823CC7">
      <w:pPr>
        <w:spacing w:line="360" w:lineRule="auto"/>
        <w:jc w:val="left"/>
        <w:rPr>
          <w:rFonts w:asciiTheme="minorEastAsia" w:hAnsiTheme="minorEastAsia"/>
          <w:b/>
          <w:sz w:val="24"/>
          <w:szCs w:val="24"/>
        </w:rPr>
      </w:pPr>
      <w:r>
        <w:rPr>
          <w:rFonts w:asciiTheme="minorEastAsia" w:hAnsiTheme="minorEastAsia" w:hint="eastAsia"/>
          <w:b/>
          <w:sz w:val="24"/>
          <w:szCs w:val="24"/>
        </w:rPr>
        <w:t>四</w:t>
      </w:r>
      <w:r w:rsidR="00C42BC1" w:rsidRPr="00E42E77">
        <w:rPr>
          <w:rFonts w:asciiTheme="minorEastAsia" w:hAnsiTheme="minorEastAsia" w:hint="eastAsia"/>
          <w:b/>
          <w:sz w:val="24"/>
          <w:szCs w:val="24"/>
        </w:rPr>
        <w:t>、商务要求</w:t>
      </w:r>
      <w:r w:rsidR="002A70AB" w:rsidRPr="00E42E77">
        <w:rPr>
          <w:rFonts w:asciiTheme="minorEastAsia" w:hAnsiTheme="minorEastAsia" w:hint="eastAsia"/>
          <w:b/>
          <w:sz w:val="24"/>
          <w:szCs w:val="24"/>
        </w:rPr>
        <w:t>：</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1.</w:t>
      </w:r>
      <w:r w:rsidRPr="00833CCF">
        <w:rPr>
          <w:rFonts w:ascii="宋体" w:hAnsi="宋体"/>
          <w:sz w:val="24"/>
          <w:szCs w:val="24"/>
        </w:rPr>
        <w:t>付款</w:t>
      </w:r>
      <w:r w:rsidRPr="00833CCF">
        <w:rPr>
          <w:rFonts w:ascii="宋体" w:hAnsi="宋体" w:hint="eastAsia"/>
          <w:sz w:val="24"/>
          <w:szCs w:val="24"/>
        </w:rPr>
        <w:t>方式</w:t>
      </w:r>
      <w:r w:rsidRPr="00833CCF">
        <w:rPr>
          <w:rFonts w:ascii="宋体" w:hAnsi="宋体"/>
          <w:sz w:val="24"/>
          <w:szCs w:val="24"/>
        </w:rPr>
        <w:t>和条件：</w:t>
      </w:r>
      <w:r w:rsidRPr="00833CCF">
        <w:rPr>
          <w:rFonts w:ascii="宋体" w:hAnsi="宋体" w:hint="eastAsia"/>
          <w:sz w:val="24"/>
          <w:szCs w:val="24"/>
        </w:rPr>
        <w:t>合同签订后，接到采购人通知，投标人在2个工作日内，以银行转账方式向采购人支付合同总金额10%作为履约保证金；货物验收合格后，采购人收到投标人提供的合法有效发票后60日内支付合同全额货款，10%的履约保证金在货物验收结束2年后在无产品质量和售后服务问题前提下无息全额退还。</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w:t>
      </w:r>
      <w:r w:rsidRPr="00833CCF">
        <w:rPr>
          <w:rFonts w:ascii="宋体" w:hAnsi="宋体"/>
          <w:sz w:val="24"/>
          <w:szCs w:val="24"/>
        </w:rPr>
        <w:t>交货期及地点：</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2.1交货期：合同签订生效后，收到采购人通知后30日内完成安装调试并交付采购人验收。</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2.2交货地点: 采购人指定地点。</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3.安装调试及验收：</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lastRenderedPageBreak/>
        <w:t>3.1投标人及制造厂家负责货物安装、调试。</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3.2货物安装调试完毕后，投标人应对采购人操作人员进行现场培训，直至采购人的技术人员能独立操作，同时能完成一般常见故障的维修工作。</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3.3完成中标产品所有安装、调试、培训后，采购人组织项目验收，验收标准以招标文件或中标方投标文件和相关行业标准为准。</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4.售后服务：</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4.1质保期：最终验收合格后至少3年（含整机所有部件），提供原厂售后服务承诺书。</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4.2投标人或制造厂家接到采购人故障通知后4小时内响应，48小时内到达现场维修，如维修不涉及零配件更换，应在24小时内修复完毕；如涉及到零配件更换，应在72小时内修复完毕。维修时间超过72小时的，投标人在维修期间提供相同规格型号的备用机。若投标人未在规定期限内修复设备而给采购人造成经济损失，由投标人全额承担。</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4.3如质保期内货物经投标人两次维修仍不能达到国家相关质量标准，采购人有权要求投标人无条件更换全新货物、退货，并追究投标人违约责任。</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4.4如货物涉及软件升级，投标人承诺中标后为采购人提供软件升级服务，采购人</w:t>
      </w:r>
      <w:proofErr w:type="gramStart"/>
      <w:r w:rsidRPr="00833CCF">
        <w:rPr>
          <w:rFonts w:ascii="宋体" w:hAnsi="宋体" w:hint="eastAsia"/>
          <w:sz w:val="24"/>
          <w:szCs w:val="24"/>
        </w:rPr>
        <w:t>不</w:t>
      </w:r>
      <w:proofErr w:type="gramEnd"/>
      <w:r w:rsidRPr="00833CCF">
        <w:rPr>
          <w:rFonts w:ascii="宋体" w:hAnsi="宋体" w:hint="eastAsia"/>
          <w:sz w:val="24"/>
          <w:szCs w:val="24"/>
        </w:rPr>
        <w:t>另行支付其他费用。（提供承诺函，格式自拟）</w:t>
      </w:r>
    </w:p>
    <w:p w:rsidR="00833CCF" w:rsidRPr="00833CCF" w:rsidRDefault="00833CCF" w:rsidP="00833CCF">
      <w:pPr>
        <w:spacing w:line="360" w:lineRule="auto"/>
        <w:jc w:val="left"/>
        <w:rPr>
          <w:rFonts w:ascii="宋体" w:hAnsi="宋体"/>
          <w:sz w:val="24"/>
          <w:szCs w:val="24"/>
        </w:rPr>
      </w:pPr>
      <w:r w:rsidRPr="00833CCF">
        <w:rPr>
          <w:rFonts w:ascii="宋体" w:hAnsi="宋体" w:hint="eastAsia"/>
          <w:sz w:val="24"/>
          <w:szCs w:val="24"/>
        </w:rPr>
        <w:t>4.5投标人承诺中标后保证设备停产后至少5年的零配件供应。（提供承诺函，格式自拟）</w:t>
      </w:r>
    </w:p>
    <w:p w:rsidR="00424DEC" w:rsidRPr="00114254" w:rsidRDefault="00114254" w:rsidP="00833CCF">
      <w:pPr>
        <w:widowControl/>
        <w:shd w:val="clear" w:color="auto" w:fill="FFFFFF"/>
        <w:wordWrap w:val="0"/>
        <w:jc w:val="left"/>
        <w:rPr>
          <w:rFonts w:ascii="黑体" w:eastAsia="黑体" w:hAnsi="黑体" w:cs="Segoe UI"/>
          <w:color w:val="FF0000"/>
          <w:kern w:val="0"/>
          <w:sz w:val="24"/>
          <w:szCs w:val="24"/>
        </w:rPr>
      </w:pPr>
      <w:r w:rsidRPr="00114254">
        <w:rPr>
          <w:rFonts w:ascii="宋体" w:hAnsi="宋体" w:hint="eastAsia"/>
          <w:b/>
          <w:color w:val="FF0000"/>
          <w:sz w:val="24"/>
          <w:szCs w:val="24"/>
        </w:rPr>
        <w:t>说明：</w:t>
      </w:r>
      <w:r w:rsidR="00A24D8F">
        <w:rPr>
          <w:rFonts w:ascii="宋体" w:hAnsi="宋体" w:hint="eastAsia"/>
          <w:b/>
          <w:color w:val="FF0000"/>
          <w:sz w:val="24"/>
          <w:szCs w:val="24"/>
        </w:rPr>
        <w:t>商务要求</w:t>
      </w:r>
      <w:r w:rsidRPr="00114254">
        <w:rPr>
          <w:rFonts w:ascii="宋体" w:hAnsi="宋体" w:hint="eastAsia"/>
          <w:b/>
          <w:color w:val="FF0000"/>
          <w:sz w:val="24"/>
          <w:szCs w:val="24"/>
        </w:rPr>
        <w:t>为实质性条款，不允许负偏离，一项不满足则视为无效响应文件。</w:t>
      </w:r>
    </w:p>
    <w:p w:rsidR="00114254" w:rsidRDefault="00114254" w:rsidP="00991324">
      <w:pPr>
        <w:widowControl/>
        <w:shd w:val="clear" w:color="auto" w:fill="FFFFFF"/>
        <w:wordWrap w:val="0"/>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A24D8F" w:rsidRPr="00E04E60" w:rsidTr="0051407D">
        <w:trPr>
          <w:trHeight w:val="701"/>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投标报价</w:t>
            </w:r>
          </w:p>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A24D8F" w:rsidRPr="00E04E60" w:rsidRDefault="00A24D8F" w:rsidP="00196ADC">
            <w:pPr>
              <w:widowControl/>
              <w:spacing w:line="40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5" w:type="pct"/>
            <w:vAlign w:val="center"/>
          </w:tcPr>
          <w:p w:rsidR="00A24D8F" w:rsidRPr="00E04E60" w:rsidRDefault="00A24D8F" w:rsidP="00196ADC">
            <w:pPr>
              <w:spacing w:line="400" w:lineRule="exact"/>
              <w:jc w:val="center"/>
              <w:rPr>
                <w:rFonts w:ascii="宋体" w:hAnsi="宋体" w:cs="Segoe UI"/>
                <w:kern w:val="0"/>
              </w:rPr>
            </w:pPr>
            <w:r>
              <w:rPr>
                <w:rFonts w:ascii="宋体" w:hAnsi="宋体" w:cs="宋体" w:hint="eastAsia"/>
              </w:rPr>
              <w:t>共同评审因素</w:t>
            </w:r>
          </w:p>
        </w:tc>
      </w:tr>
      <w:tr w:rsidR="00A24D8F" w:rsidRPr="00E04E60" w:rsidTr="0051407D">
        <w:trPr>
          <w:trHeight w:val="2826"/>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lastRenderedPageBreak/>
              <w:t>2</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技术指标</w:t>
            </w:r>
          </w:p>
          <w:p w:rsidR="00A24D8F" w:rsidRPr="00E04E60" w:rsidRDefault="00A24D8F" w:rsidP="0012671A">
            <w:pPr>
              <w:widowControl/>
              <w:spacing w:line="400" w:lineRule="exact"/>
              <w:jc w:val="center"/>
              <w:rPr>
                <w:rFonts w:ascii="宋体" w:hAnsi="宋体" w:cs="Segoe UI"/>
                <w:color w:val="333333"/>
                <w:kern w:val="0"/>
              </w:rPr>
            </w:pPr>
            <w:r>
              <w:rPr>
                <w:rFonts w:ascii="宋体" w:hAnsi="宋体" w:cs="Segoe UI" w:hint="eastAsia"/>
                <w:color w:val="000000"/>
                <w:kern w:val="0"/>
              </w:rPr>
              <w:t>5</w:t>
            </w:r>
            <w:r w:rsidR="0012671A">
              <w:rPr>
                <w:rFonts w:ascii="宋体" w:hAnsi="宋体" w:cs="Segoe UI" w:hint="eastAsia"/>
                <w:color w:val="000000"/>
                <w:kern w:val="0"/>
              </w:rPr>
              <w:t>7</w:t>
            </w:r>
            <w:r w:rsidRPr="00E04E60">
              <w:rPr>
                <w:rFonts w:ascii="宋体" w:hAnsi="宋体" w:cs="Segoe UI" w:hint="eastAsia"/>
                <w:color w:val="000000"/>
                <w:kern w:val="0"/>
              </w:rPr>
              <w:t>%</w:t>
            </w:r>
          </w:p>
        </w:tc>
        <w:tc>
          <w:tcPr>
            <w:tcW w:w="512" w:type="pct"/>
            <w:vAlign w:val="center"/>
          </w:tcPr>
          <w:p w:rsidR="00A24D8F" w:rsidRPr="00E04E60" w:rsidRDefault="00A24D8F" w:rsidP="0012671A">
            <w:pPr>
              <w:widowControl/>
              <w:spacing w:line="400" w:lineRule="exact"/>
              <w:jc w:val="center"/>
              <w:rPr>
                <w:rFonts w:ascii="宋体" w:hAnsi="宋体" w:cs="Segoe UI"/>
                <w:color w:val="333333"/>
                <w:kern w:val="0"/>
              </w:rPr>
            </w:pPr>
            <w:r>
              <w:rPr>
                <w:rFonts w:ascii="宋体" w:hAnsi="宋体" w:cs="Segoe UI" w:hint="eastAsia"/>
                <w:color w:val="000000"/>
                <w:kern w:val="0"/>
              </w:rPr>
              <w:t>5</w:t>
            </w:r>
            <w:r w:rsidR="0012671A">
              <w:rPr>
                <w:rFonts w:ascii="宋体" w:hAnsi="宋体" w:cs="Segoe UI" w:hint="eastAsia"/>
                <w:color w:val="000000"/>
                <w:kern w:val="0"/>
              </w:rPr>
              <w:t>7</w:t>
            </w:r>
          </w:p>
        </w:tc>
        <w:tc>
          <w:tcPr>
            <w:tcW w:w="2813" w:type="pct"/>
            <w:vAlign w:val="center"/>
          </w:tcPr>
          <w:p w:rsidR="00A24D8F" w:rsidRDefault="00A24D8F" w:rsidP="00196ADC">
            <w:pPr>
              <w:widowControl/>
              <w:spacing w:line="400" w:lineRule="exact"/>
              <w:rPr>
                <w:rFonts w:ascii="宋体" w:hAnsi="宋体" w:cs="宋体"/>
              </w:rPr>
            </w:pPr>
            <w:r>
              <w:rPr>
                <w:rFonts w:ascii="宋体" w:hAnsi="宋体" w:cs="宋体" w:hint="eastAsia"/>
              </w:rPr>
              <w:t>1．完全符合招标文件技术参数要求没有负偏离得5</w:t>
            </w:r>
            <w:r w:rsidR="0012671A">
              <w:rPr>
                <w:rFonts w:ascii="宋体" w:hAnsi="宋体" w:cs="宋体" w:hint="eastAsia"/>
              </w:rPr>
              <w:t>7</w:t>
            </w:r>
            <w:r>
              <w:rPr>
                <w:rFonts w:ascii="宋体" w:hAnsi="宋体" w:cs="宋体" w:hint="eastAsia"/>
              </w:rPr>
              <w:t>分。</w:t>
            </w:r>
          </w:p>
          <w:p w:rsidR="00A24D8F" w:rsidRDefault="00A24D8F" w:rsidP="00196ADC">
            <w:pPr>
              <w:widowControl/>
              <w:spacing w:line="400" w:lineRule="exact"/>
              <w:rPr>
                <w:rFonts w:ascii="宋体" w:hAnsi="宋体" w:cs="宋体"/>
              </w:rPr>
            </w:pPr>
            <w:r>
              <w:rPr>
                <w:rFonts w:ascii="宋体" w:hAnsi="宋体" w:cs="宋体" w:hint="eastAsia"/>
              </w:rPr>
              <w:t>2．带“★”的条款为重要参数条款（共</w:t>
            </w:r>
            <w:r w:rsidR="0012671A">
              <w:rPr>
                <w:rFonts w:ascii="宋体" w:hAnsi="宋体" w:cs="宋体" w:hint="eastAsia"/>
              </w:rPr>
              <w:t>5</w:t>
            </w:r>
            <w:r>
              <w:rPr>
                <w:rFonts w:ascii="宋体" w:hAnsi="宋体" w:cs="宋体" w:hint="eastAsia"/>
              </w:rPr>
              <w:t>项），不满足带“★”重要参数条款每一项扣6分；未标识符号的参数为一般参数（共</w:t>
            </w:r>
            <w:r w:rsidR="0012671A">
              <w:rPr>
                <w:rFonts w:ascii="宋体" w:hAnsi="宋体" w:cs="宋体" w:hint="eastAsia"/>
              </w:rPr>
              <w:t>9</w:t>
            </w:r>
            <w:r>
              <w:rPr>
                <w:rFonts w:ascii="宋体" w:hAnsi="宋体" w:cs="宋体" w:hint="eastAsia"/>
              </w:rPr>
              <w:t>项），不满足一般参数条款每一项扣</w:t>
            </w:r>
            <w:r w:rsidR="0012671A">
              <w:rPr>
                <w:rFonts w:ascii="宋体" w:hAnsi="宋体" w:cs="宋体" w:hint="eastAsia"/>
              </w:rPr>
              <w:t>3</w:t>
            </w:r>
            <w:r>
              <w:rPr>
                <w:rFonts w:ascii="宋体" w:hAnsi="宋体" w:cs="宋体" w:hint="eastAsia"/>
              </w:rPr>
              <w:t>分，扣完为止。</w:t>
            </w:r>
          </w:p>
          <w:p w:rsidR="00A24D8F" w:rsidRDefault="00A24D8F" w:rsidP="00196ADC">
            <w:pPr>
              <w:widowControl/>
              <w:spacing w:line="40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原厂技术白皮书等有效证明材料并加盖投标人公章。但如果招标文件技术参数中的技术条款对技术支持材料有要求的，应按要求提供；</w:t>
            </w:r>
          </w:p>
          <w:p w:rsidR="00A24D8F" w:rsidRPr="00EF59A8" w:rsidRDefault="00A24D8F" w:rsidP="00196ADC">
            <w:pPr>
              <w:widowControl/>
              <w:spacing w:line="40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565" w:type="pct"/>
            <w:vAlign w:val="center"/>
          </w:tcPr>
          <w:p w:rsidR="00A24D8F" w:rsidRPr="00E04E60" w:rsidRDefault="00A24D8F" w:rsidP="00196ADC">
            <w:pPr>
              <w:widowControl/>
              <w:spacing w:line="400" w:lineRule="exact"/>
              <w:jc w:val="center"/>
              <w:rPr>
                <w:rFonts w:ascii="宋体" w:hAnsi="宋体" w:cs="Segoe UI"/>
                <w:kern w:val="0"/>
              </w:rPr>
            </w:pPr>
            <w:r>
              <w:rPr>
                <w:rFonts w:ascii="宋体" w:hAnsi="宋体" w:cs="宋体" w:hint="eastAsia"/>
              </w:rPr>
              <w:t>共同评审因素</w:t>
            </w:r>
          </w:p>
        </w:tc>
      </w:tr>
      <w:tr w:rsidR="00A24D8F" w:rsidRPr="00E04E60" w:rsidTr="0051407D">
        <w:trPr>
          <w:trHeight w:val="1550"/>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Pr>
                <w:rFonts w:ascii="宋体" w:hAnsi="宋体" w:cs="Segoe UI" w:hint="eastAsia"/>
                <w:color w:val="000000"/>
                <w:kern w:val="0"/>
              </w:rPr>
              <w:t>业绩</w:t>
            </w:r>
          </w:p>
          <w:p w:rsidR="00A24D8F" w:rsidRPr="00E04E60" w:rsidRDefault="00A24D8F" w:rsidP="00196ADC">
            <w:pPr>
              <w:widowControl/>
              <w:spacing w:line="40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A24D8F" w:rsidRPr="00123C36" w:rsidRDefault="00A24D8F" w:rsidP="00196ADC">
            <w:pPr>
              <w:widowControl/>
              <w:spacing w:line="400" w:lineRule="exact"/>
              <w:jc w:val="center"/>
              <w:rPr>
                <w:rFonts w:ascii="宋体" w:hAnsi="宋体" w:cs="宋体"/>
              </w:rPr>
            </w:pPr>
            <w:r>
              <w:rPr>
                <w:rFonts w:ascii="宋体" w:hAnsi="宋体" w:cs="宋体" w:hint="eastAsia"/>
              </w:rPr>
              <w:t>5</w:t>
            </w:r>
          </w:p>
        </w:tc>
        <w:tc>
          <w:tcPr>
            <w:tcW w:w="2813" w:type="pct"/>
            <w:vAlign w:val="center"/>
          </w:tcPr>
          <w:p w:rsidR="00A24D8F" w:rsidRPr="00123C36" w:rsidRDefault="00A24D8F" w:rsidP="00196ADC">
            <w:pPr>
              <w:widowControl/>
              <w:spacing w:line="400" w:lineRule="exact"/>
              <w:rPr>
                <w:rFonts w:ascii="宋体" w:hAnsi="宋体" w:cs="宋体"/>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A24D8F" w:rsidRPr="00123C36" w:rsidRDefault="00A24D8F" w:rsidP="00196ADC">
            <w:pPr>
              <w:widowControl/>
              <w:spacing w:line="40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A24D8F" w:rsidRPr="00E04E60" w:rsidRDefault="00A24D8F" w:rsidP="00196ADC">
            <w:pPr>
              <w:spacing w:line="400" w:lineRule="exact"/>
              <w:jc w:val="center"/>
              <w:rPr>
                <w:rFonts w:ascii="宋体" w:hAnsi="宋体" w:cs="Segoe UI"/>
                <w:color w:val="000000"/>
                <w:kern w:val="0"/>
              </w:rPr>
            </w:pPr>
            <w:r>
              <w:rPr>
                <w:rFonts w:ascii="宋体" w:hAnsi="宋体" w:cs="宋体" w:hint="eastAsia"/>
              </w:rPr>
              <w:t>共同评审因素</w:t>
            </w:r>
          </w:p>
        </w:tc>
      </w:tr>
      <w:tr w:rsidR="00A24D8F" w:rsidRPr="00E2283C" w:rsidTr="0051407D">
        <w:trPr>
          <w:trHeight w:val="1425"/>
          <w:jc w:val="center"/>
        </w:trPr>
        <w:tc>
          <w:tcPr>
            <w:tcW w:w="420" w:type="pct"/>
            <w:vAlign w:val="center"/>
          </w:tcPr>
          <w:p w:rsidR="00A24D8F" w:rsidRPr="00E04E60" w:rsidRDefault="00A24D8F" w:rsidP="00196ADC">
            <w:pPr>
              <w:widowControl/>
              <w:spacing w:line="400" w:lineRule="exact"/>
              <w:jc w:val="center"/>
              <w:rPr>
                <w:rFonts w:ascii="宋体" w:hAnsi="宋体" w:cs="Segoe UI"/>
                <w:color w:val="333333"/>
                <w:kern w:val="0"/>
              </w:rPr>
            </w:pPr>
            <w:r w:rsidRPr="00E04E60">
              <w:rPr>
                <w:rFonts w:ascii="宋体" w:hAnsi="宋体" w:cs="Segoe UI" w:hint="eastAsia"/>
                <w:color w:val="000000"/>
                <w:kern w:val="0"/>
              </w:rPr>
              <w:t>4</w:t>
            </w:r>
          </w:p>
        </w:tc>
        <w:tc>
          <w:tcPr>
            <w:tcW w:w="690" w:type="pct"/>
            <w:vAlign w:val="center"/>
          </w:tcPr>
          <w:p w:rsidR="00A24D8F" w:rsidRPr="00E04E60" w:rsidRDefault="00A24D8F" w:rsidP="00196ADC">
            <w:pPr>
              <w:widowControl/>
              <w:spacing w:line="40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A24D8F" w:rsidRPr="00E04E60" w:rsidRDefault="0012671A" w:rsidP="00196ADC">
            <w:pPr>
              <w:widowControl/>
              <w:spacing w:line="400" w:lineRule="exact"/>
              <w:jc w:val="center"/>
              <w:rPr>
                <w:rFonts w:ascii="宋体" w:hAnsi="宋体" w:cs="Segoe UI"/>
                <w:color w:val="000000"/>
                <w:kern w:val="0"/>
              </w:rPr>
            </w:pPr>
            <w:r>
              <w:rPr>
                <w:rFonts w:ascii="宋体" w:hAnsi="宋体" w:cs="Segoe UI" w:hint="eastAsia"/>
                <w:color w:val="000000"/>
                <w:kern w:val="0"/>
              </w:rPr>
              <w:t>8</w:t>
            </w:r>
            <w:r w:rsidR="00A24D8F" w:rsidRPr="00E04E60">
              <w:rPr>
                <w:rFonts w:ascii="宋体" w:hAnsi="宋体" w:cs="Segoe UI" w:hint="eastAsia"/>
                <w:color w:val="000000"/>
                <w:kern w:val="0"/>
              </w:rPr>
              <w:t>%</w:t>
            </w:r>
          </w:p>
        </w:tc>
        <w:tc>
          <w:tcPr>
            <w:tcW w:w="512" w:type="pct"/>
            <w:vAlign w:val="center"/>
          </w:tcPr>
          <w:p w:rsidR="00A24D8F" w:rsidRPr="00E04E60" w:rsidRDefault="0012671A" w:rsidP="00196ADC">
            <w:pPr>
              <w:spacing w:line="400" w:lineRule="exact"/>
              <w:ind w:left="-105" w:right="-107"/>
              <w:jc w:val="center"/>
              <w:rPr>
                <w:rFonts w:ascii="宋体" w:hAnsi="宋体" w:cs="Segoe UI"/>
                <w:color w:val="333333"/>
                <w:kern w:val="0"/>
              </w:rPr>
            </w:pPr>
            <w:r>
              <w:rPr>
                <w:rFonts w:ascii="宋体" w:hAnsi="宋体" w:cs="Segoe UI" w:hint="eastAsia"/>
                <w:color w:val="333333"/>
                <w:kern w:val="0"/>
              </w:rPr>
              <w:t>8</w:t>
            </w:r>
          </w:p>
        </w:tc>
        <w:tc>
          <w:tcPr>
            <w:tcW w:w="2813" w:type="pct"/>
            <w:vAlign w:val="center"/>
          </w:tcPr>
          <w:p w:rsidR="00A24D8F" w:rsidRDefault="00A24D8F" w:rsidP="00196ADC">
            <w:pPr>
              <w:widowControl/>
              <w:spacing w:line="400" w:lineRule="exact"/>
              <w:rPr>
                <w:rFonts w:ascii="宋体" w:hAnsi="宋体" w:cs="宋体"/>
              </w:rPr>
            </w:pPr>
            <w:r>
              <w:rPr>
                <w:rFonts w:ascii="宋体" w:hAnsi="宋体" w:cs="宋体" w:hint="eastAsia"/>
              </w:rPr>
              <w:t>（1）根据投标人提供的售后服务方案，包含：①质量保障措施；②技术支持；③应急方案；④服务响应。进行评审，四个方面提供完整且描述详细，符合本项目实际情况、有利于项目实施的得</w:t>
            </w:r>
            <w:r w:rsidR="0012671A">
              <w:rPr>
                <w:rFonts w:ascii="宋体" w:hAnsi="宋体" w:cs="宋体" w:hint="eastAsia"/>
              </w:rPr>
              <w:t>4</w:t>
            </w:r>
            <w:r>
              <w:rPr>
                <w:rFonts w:ascii="宋体" w:hAnsi="宋体" w:cs="宋体" w:hint="eastAsia"/>
              </w:rPr>
              <w:t>分；每缺少一项或提供的方案与本项目无关的扣</w:t>
            </w:r>
            <w:r w:rsidR="0012671A">
              <w:rPr>
                <w:rFonts w:ascii="宋体" w:hAnsi="宋体" w:cs="宋体" w:hint="eastAsia"/>
              </w:rPr>
              <w:t>1</w:t>
            </w:r>
            <w:r>
              <w:rPr>
                <w:rFonts w:ascii="宋体" w:hAnsi="宋体" w:cs="宋体" w:hint="eastAsia"/>
              </w:rPr>
              <w:t>分；每有一项存在缺陷或漏洞的，且不利于项目实施的扣</w:t>
            </w:r>
            <w:r w:rsidR="0012671A">
              <w:rPr>
                <w:rFonts w:ascii="宋体" w:hAnsi="宋体" w:cs="宋体" w:hint="eastAsia"/>
              </w:rPr>
              <w:t>0.5</w:t>
            </w:r>
            <w:r>
              <w:rPr>
                <w:rFonts w:ascii="宋体" w:hAnsi="宋体" w:cs="宋体" w:hint="eastAsia"/>
              </w:rPr>
              <w:t>分，分值扣完为止。</w:t>
            </w:r>
          </w:p>
          <w:p w:rsidR="00A24D8F" w:rsidRPr="00E04E60" w:rsidRDefault="00A24D8F" w:rsidP="00196ADC">
            <w:pPr>
              <w:widowControl/>
              <w:spacing w:line="400" w:lineRule="exact"/>
              <w:rPr>
                <w:rFonts w:ascii="宋体" w:hAnsi="宋体" w:cs="Segoe UI"/>
                <w:color w:val="000000"/>
                <w:kern w:val="0"/>
              </w:rPr>
            </w:pPr>
            <w:r>
              <w:rPr>
                <w:rFonts w:ascii="宋体" w:hAnsi="宋体" w:cs="宋体" w:hint="eastAsia"/>
              </w:rPr>
              <w:t>（2）投标人提供的投标产品相关的①技术培训服务能力；②详细的服务培训计划；③提供维修人员的相关专业证书；④维修人员的在职证明复印件加盖投标人公章的得4分；每缺少一项或提供的方案与本项目无关的扣1分；每有一项存在缺陷或漏洞的扣0.5分，分值扣完为止。</w:t>
            </w:r>
          </w:p>
        </w:tc>
        <w:tc>
          <w:tcPr>
            <w:tcW w:w="565" w:type="pct"/>
            <w:vAlign w:val="center"/>
          </w:tcPr>
          <w:p w:rsidR="00A24D8F" w:rsidRPr="00E2283C" w:rsidRDefault="00A24D8F" w:rsidP="00196ADC">
            <w:pPr>
              <w:widowControl/>
              <w:spacing w:line="400" w:lineRule="exact"/>
              <w:jc w:val="center"/>
              <w:rPr>
                <w:rFonts w:ascii="宋体" w:hAnsi="宋体" w:cs="Segoe UI"/>
                <w:color w:val="000000"/>
                <w:kern w:val="0"/>
              </w:rPr>
            </w:pPr>
            <w:r>
              <w:rPr>
                <w:rFonts w:ascii="宋体" w:hAnsi="宋体" w:cs="宋体" w:hint="eastAsia"/>
              </w:rPr>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978"/>
        <w:gridCol w:w="839"/>
        <w:gridCol w:w="840"/>
        <w:gridCol w:w="907"/>
        <w:gridCol w:w="1134"/>
        <w:gridCol w:w="851"/>
        <w:gridCol w:w="1184"/>
      </w:tblGrid>
      <w:tr w:rsidR="00B512E5" w:rsidRPr="00991324" w:rsidTr="00B512E5">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型号</w:t>
            </w:r>
          </w:p>
        </w:tc>
        <w:tc>
          <w:tcPr>
            <w:tcW w:w="9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851" w:type="dxa"/>
            <w:tcBorders>
              <w:top w:val="single" w:sz="8" w:space="0" w:color="auto"/>
              <w:left w:val="nil"/>
              <w:bottom w:val="single" w:sz="8"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B512E5">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w:t>
      </w:r>
      <w:r w:rsidR="009A01F1">
        <w:rPr>
          <w:rFonts w:ascii="黑体" w:eastAsia="黑体" w:hAnsi="黑体" w:cs="Segoe UI" w:hint="eastAsia"/>
          <w:b/>
          <w:color w:val="333333"/>
          <w:kern w:val="0"/>
          <w:sz w:val="32"/>
          <w:szCs w:val="32"/>
        </w:rPr>
        <w:t>参数</w:t>
      </w:r>
      <w:r w:rsidRPr="003913A9">
        <w:rPr>
          <w:rFonts w:ascii="黑体" w:eastAsia="黑体" w:hAnsi="黑体" w:cs="Segoe UI" w:hint="eastAsia"/>
          <w:b/>
          <w:color w:val="333333"/>
          <w:kern w:val="0"/>
          <w:sz w:val="32"/>
          <w:szCs w:val="32"/>
        </w:rPr>
        <w:t>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磋商日期：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332B4A" w:rsidRPr="003913A9" w:rsidRDefault="00332B4A" w:rsidP="00332B4A">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DE5B86" w:rsidP="00634257">
      <w:pPr>
        <w:widowControl/>
        <w:snapToGrid w:val="0"/>
        <w:jc w:val="left"/>
        <w:outlineLvl w:val="1"/>
        <w:rPr>
          <w:rFonts w:ascii="黑体" w:eastAsia="黑体" w:hAnsi="黑体"/>
          <w:szCs w:val="21"/>
        </w:rPr>
      </w:pPr>
      <w:r>
        <w:rPr>
          <w:rFonts w:ascii="黑体" w:eastAsia="黑体" w:hAnsi="黑体" w:hint="eastAsia"/>
          <w:szCs w:val="21"/>
        </w:rPr>
        <w:t>1．</w:t>
      </w:r>
      <w:r w:rsidR="00634257">
        <w:rPr>
          <w:rFonts w:ascii="黑体" w:eastAsia="黑体" w:hAnsi="黑体" w:hint="eastAsia"/>
          <w:szCs w:val="21"/>
        </w:rPr>
        <w:t>投标人必须据实填写，不得虚假应答，否则将取消其</w:t>
      </w:r>
      <w:r w:rsidR="00634257">
        <w:rPr>
          <w:rFonts w:ascii="黑体" w:eastAsia="黑体" w:hAnsi="黑体" w:hint="eastAsia"/>
          <w:color w:val="000000"/>
          <w:szCs w:val="21"/>
        </w:rPr>
        <w:t>成交</w:t>
      </w:r>
      <w:r w:rsidR="00634257">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DE5B86"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w:t>
      </w:r>
      <w:r w:rsidR="00634257">
        <w:rPr>
          <w:rFonts w:ascii="黑体" w:eastAsia="黑体" w:hAnsi="黑体" w:hint="eastAsia"/>
          <w:szCs w:val="21"/>
        </w:rPr>
        <w:t>此表若空白则视为：①</w:t>
      </w:r>
      <w:r w:rsidR="00F12899">
        <w:rPr>
          <w:rFonts w:ascii="黑体" w:eastAsia="黑体" w:hAnsi="黑体" w:hint="eastAsia"/>
          <w:szCs w:val="21"/>
        </w:rPr>
        <w:t>投标人</w:t>
      </w:r>
      <w:r w:rsidR="00634257">
        <w:rPr>
          <w:rFonts w:ascii="黑体" w:eastAsia="黑体" w:hAnsi="黑体" w:hint="eastAsia"/>
          <w:szCs w:val="21"/>
        </w:rPr>
        <w:t>对本文件商务及其他要求</w:t>
      </w:r>
      <w:proofErr w:type="gramStart"/>
      <w:r w:rsidR="00634257">
        <w:rPr>
          <w:rFonts w:ascii="黑体" w:eastAsia="黑体" w:hAnsi="黑体" w:hint="eastAsia"/>
          <w:szCs w:val="21"/>
        </w:rPr>
        <w:t>完全响应</w:t>
      </w:r>
      <w:proofErr w:type="gramEnd"/>
      <w:r w:rsidR="00634257">
        <w:rPr>
          <w:rFonts w:ascii="黑体" w:eastAsia="黑体" w:hAnsi="黑体" w:hint="eastAsia"/>
          <w:szCs w:val="21"/>
        </w:rPr>
        <w:t>而无差异，②</w:t>
      </w:r>
      <w:r w:rsidR="00F12899">
        <w:rPr>
          <w:rFonts w:ascii="黑体" w:eastAsia="黑体" w:hAnsi="黑体" w:hint="eastAsia"/>
          <w:szCs w:val="21"/>
        </w:rPr>
        <w:t>投标人</w:t>
      </w:r>
      <w:r w:rsidR="00634257">
        <w:rPr>
          <w:rFonts w:ascii="黑体" w:eastAsia="黑体" w:hAnsi="黑体" w:hint="eastAsia"/>
          <w:szCs w:val="21"/>
        </w:rPr>
        <w:t>对本文件表述的商务及其他内容和要求完全理解而无异议。</w:t>
      </w:r>
    </w:p>
    <w:p w:rsidR="00634257" w:rsidRPr="007F3338" w:rsidRDefault="00634257" w:rsidP="007F3338">
      <w:pPr>
        <w:widowControl/>
        <w:shd w:val="clear" w:color="auto" w:fill="FFFFFF"/>
        <w:jc w:val="left"/>
        <w:rPr>
          <w:rFonts w:asciiTheme="minorEastAsia" w:hAnsiTheme="minorEastAsia"/>
          <w:sz w:val="24"/>
        </w:rPr>
      </w:pP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11453B"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332B4A" w:rsidRPr="007F3338" w:rsidRDefault="00332B4A" w:rsidP="007F3338">
      <w:pPr>
        <w:widowControl/>
        <w:snapToGrid w:val="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0" w:name="_Toc95295163"/>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823CC7">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823CC7">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823CC7">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1"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823CC7">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w:t>
      </w:r>
      <w:r w:rsidRPr="007F3338">
        <w:rPr>
          <w:rFonts w:asciiTheme="minorEastAsia" w:hAnsiTheme="minorEastAsia" w:hint="eastAsia"/>
          <w:sz w:val="24"/>
          <w:szCs w:val="24"/>
        </w:rPr>
        <w:lastRenderedPageBreak/>
        <w:t>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823CC7">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823CC7">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823CC7">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B512E5">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823CC7">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6F3573" w:rsidP="009D1D07">
      <w:pPr>
        <w:widowControl/>
        <w:shd w:val="clear" w:color="auto" w:fill="FFFFFF"/>
        <w:wordWrap w:val="0"/>
        <w:jc w:val="left"/>
        <w:rPr>
          <w:rFonts w:ascii="仿宋" w:eastAsia="仿宋" w:hAnsi="仿宋"/>
          <w:sz w:val="24"/>
        </w:rPr>
      </w:pPr>
      <w:r>
        <w:rPr>
          <w:rFonts w:ascii="仿宋" w:eastAsia="仿宋" w:hAnsi="仿宋" w:hint="eastAsia"/>
          <w:sz w:val="24"/>
        </w:rPr>
        <w:t xml:space="preserve"> </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w:t>
      </w:r>
      <w:r w:rsidRPr="00110D06">
        <w:rPr>
          <w:rFonts w:asciiTheme="minorEastAsia" w:hAnsiTheme="minorEastAsia" w:cs="Segoe UI" w:hint="eastAsia"/>
          <w:color w:val="333333"/>
          <w:kern w:val="0"/>
          <w:sz w:val="24"/>
          <w:szCs w:val="24"/>
        </w:rPr>
        <w:lastRenderedPageBreak/>
        <w:t>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D80EE5">
        <w:rPr>
          <w:rFonts w:asciiTheme="minorEastAsia" w:hAnsiTheme="minorEastAsia" w:cs="Segoe UI" w:hint="eastAsia"/>
          <w:color w:val="333333"/>
          <w:kern w:val="0"/>
          <w:sz w:val="24"/>
          <w:szCs w:val="24"/>
          <w:u w:val="single"/>
        </w:rPr>
        <w:t xml:space="preserve">除颤仪 </w:t>
      </w:r>
      <w:r w:rsidR="00464B78" w:rsidRPr="00A8146F">
        <w:rPr>
          <w:rFonts w:asciiTheme="minorEastAsia" w:hAnsiTheme="minorEastAsia" w:cs="Segoe UI" w:hint="eastAsia"/>
          <w:color w:val="333333"/>
          <w:kern w:val="0"/>
          <w:sz w:val="24"/>
          <w:szCs w:val="24"/>
        </w:rPr>
        <w:t>。</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110D06">
      <w:pPr>
        <w:widowControl/>
        <w:shd w:val="clear" w:color="auto" w:fill="FFFFFF"/>
        <w:spacing w:line="500" w:lineRule="exact"/>
        <w:ind w:firstLine="480"/>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F0451" w:rsidRPr="00DF0451">
        <w:rPr>
          <w:rFonts w:asciiTheme="minorEastAsia" w:hAnsiTheme="minorEastAsia" w:cs="Segoe UI" w:hint="eastAsia"/>
          <w:color w:val="333333"/>
          <w:kern w:val="0"/>
          <w:sz w:val="24"/>
          <w:szCs w:val="24"/>
          <w:u w:val="single"/>
        </w:rPr>
        <w:t xml:space="preserve"> </w:t>
      </w:r>
      <w:r w:rsidR="00DF0451">
        <w:rPr>
          <w:rFonts w:asciiTheme="minorEastAsia" w:hAnsiTheme="minorEastAsia" w:cs="Segoe UI" w:hint="eastAsia"/>
          <w:color w:val="333333"/>
          <w:kern w:val="0"/>
          <w:sz w:val="24"/>
          <w:szCs w:val="24"/>
          <w:u w:val="single"/>
        </w:rPr>
        <w:t xml:space="preserve">除颤仪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E0714" w:rsidRDefault="00335D1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p>
    <w:p w:rsidR="00023202" w:rsidRPr="008176FE" w:rsidRDefault="00023202"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9．投标产品生产厂家资质</w:t>
      </w:r>
    </w:p>
    <w:p w:rsidR="00CC5730" w:rsidRPr="008176FE" w:rsidRDefault="00023202" w:rsidP="008176FE">
      <w:pPr>
        <w:widowControl/>
        <w:shd w:val="clear" w:color="auto" w:fill="FFFFFF"/>
        <w:wordWrap w:val="0"/>
        <w:spacing w:line="50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23202">
        <w:rPr>
          <w:rFonts w:asciiTheme="minorEastAsia" w:hAnsiTheme="minorEastAsia" w:cs="Segoe UI" w:hint="eastAsia"/>
          <w:color w:val="333333"/>
          <w:spacing w:val="8"/>
          <w:kern w:val="0"/>
          <w:sz w:val="24"/>
          <w:szCs w:val="24"/>
        </w:rPr>
        <w:t>5</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lastRenderedPageBreak/>
        <w:t>1</w:t>
      </w:r>
      <w:r w:rsidR="00023202">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23202">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023202">
        <w:rPr>
          <w:rFonts w:asciiTheme="minorEastAsia" w:hAnsiTheme="minorEastAsia" w:cs="Segoe UI" w:hint="eastAsia"/>
          <w:color w:val="333333"/>
          <w:kern w:val="0"/>
          <w:sz w:val="24"/>
        </w:rPr>
        <w:t>9</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23202"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96" w:rsidRDefault="005C4496" w:rsidP="00991324">
      <w:r>
        <w:separator/>
      </w:r>
    </w:p>
  </w:endnote>
  <w:endnote w:type="continuationSeparator" w:id="0">
    <w:p w:rsidR="005C4496" w:rsidRDefault="005C449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96" w:rsidRDefault="005C4496" w:rsidP="00991324">
      <w:r>
        <w:separator/>
      </w:r>
    </w:p>
  </w:footnote>
  <w:footnote w:type="continuationSeparator" w:id="0">
    <w:p w:rsidR="005C4496" w:rsidRDefault="005C449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52D5"/>
    <w:rsid w:val="00110D06"/>
    <w:rsid w:val="00114254"/>
    <w:rsid w:val="0011453B"/>
    <w:rsid w:val="0012671A"/>
    <w:rsid w:val="0013567B"/>
    <w:rsid w:val="001371D2"/>
    <w:rsid w:val="001931F2"/>
    <w:rsid w:val="001D509E"/>
    <w:rsid w:val="00251494"/>
    <w:rsid w:val="00281689"/>
    <w:rsid w:val="00281ED2"/>
    <w:rsid w:val="002A70AB"/>
    <w:rsid w:val="002A7C3C"/>
    <w:rsid w:val="002C05F9"/>
    <w:rsid w:val="002C5FAA"/>
    <w:rsid w:val="002D6F89"/>
    <w:rsid w:val="002E739D"/>
    <w:rsid w:val="002F715B"/>
    <w:rsid w:val="003323CD"/>
    <w:rsid w:val="00332B4A"/>
    <w:rsid w:val="00332BC2"/>
    <w:rsid w:val="00335D1B"/>
    <w:rsid w:val="00341112"/>
    <w:rsid w:val="00350FB9"/>
    <w:rsid w:val="003518D9"/>
    <w:rsid w:val="00374C74"/>
    <w:rsid w:val="003913A9"/>
    <w:rsid w:val="00391597"/>
    <w:rsid w:val="003968E2"/>
    <w:rsid w:val="003974A1"/>
    <w:rsid w:val="003B51B5"/>
    <w:rsid w:val="003D6FF4"/>
    <w:rsid w:val="003F0A08"/>
    <w:rsid w:val="003F6A69"/>
    <w:rsid w:val="004079B9"/>
    <w:rsid w:val="00424DEC"/>
    <w:rsid w:val="004361FF"/>
    <w:rsid w:val="00440088"/>
    <w:rsid w:val="00455C1B"/>
    <w:rsid w:val="004578DF"/>
    <w:rsid w:val="004612FF"/>
    <w:rsid w:val="00463382"/>
    <w:rsid w:val="00463FB0"/>
    <w:rsid w:val="00464B78"/>
    <w:rsid w:val="00477C63"/>
    <w:rsid w:val="004A39A0"/>
    <w:rsid w:val="004E23D0"/>
    <w:rsid w:val="00501615"/>
    <w:rsid w:val="0051407D"/>
    <w:rsid w:val="00540FC1"/>
    <w:rsid w:val="005427D2"/>
    <w:rsid w:val="00545B59"/>
    <w:rsid w:val="00545F84"/>
    <w:rsid w:val="00563606"/>
    <w:rsid w:val="00590389"/>
    <w:rsid w:val="005C4496"/>
    <w:rsid w:val="005C4A34"/>
    <w:rsid w:val="005F7562"/>
    <w:rsid w:val="006216EA"/>
    <w:rsid w:val="00634257"/>
    <w:rsid w:val="00635432"/>
    <w:rsid w:val="006544A1"/>
    <w:rsid w:val="006678ED"/>
    <w:rsid w:val="0067270F"/>
    <w:rsid w:val="006A576A"/>
    <w:rsid w:val="006B0729"/>
    <w:rsid w:val="006B313C"/>
    <w:rsid w:val="006C4859"/>
    <w:rsid w:val="006C48AE"/>
    <w:rsid w:val="006C64E2"/>
    <w:rsid w:val="006D524D"/>
    <w:rsid w:val="006F22A3"/>
    <w:rsid w:val="006F3573"/>
    <w:rsid w:val="006F4FC0"/>
    <w:rsid w:val="006F5A18"/>
    <w:rsid w:val="0070071D"/>
    <w:rsid w:val="00741A7F"/>
    <w:rsid w:val="00762E8A"/>
    <w:rsid w:val="0077062D"/>
    <w:rsid w:val="007778EA"/>
    <w:rsid w:val="007860AC"/>
    <w:rsid w:val="007A17DE"/>
    <w:rsid w:val="007A6A05"/>
    <w:rsid w:val="007F3338"/>
    <w:rsid w:val="0081692D"/>
    <w:rsid w:val="008176FE"/>
    <w:rsid w:val="00823CC7"/>
    <w:rsid w:val="00833CCF"/>
    <w:rsid w:val="00850131"/>
    <w:rsid w:val="00857971"/>
    <w:rsid w:val="0086447A"/>
    <w:rsid w:val="008713E9"/>
    <w:rsid w:val="00876189"/>
    <w:rsid w:val="008E5E07"/>
    <w:rsid w:val="00901FA9"/>
    <w:rsid w:val="009160C4"/>
    <w:rsid w:val="00923FBE"/>
    <w:rsid w:val="00960159"/>
    <w:rsid w:val="00974ACE"/>
    <w:rsid w:val="009805C5"/>
    <w:rsid w:val="00991324"/>
    <w:rsid w:val="00993614"/>
    <w:rsid w:val="009A01F1"/>
    <w:rsid w:val="009A3EE5"/>
    <w:rsid w:val="009B172C"/>
    <w:rsid w:val="009B186F"/>
    <w:rsid w:val="009B3CC5"/>
    <w:rsid w:val="009B7AB9"/>
    <w:rsid w:val="009D1D07"/>
    <w:rsid w:val="00A00A2A"/>
    <w:rsid w:val="00A05DD6"/>
    <w:rsid w:val="00A07D94"/>
    <w:rsid w:val="00A24D8F"/>
    <w:rsid w:val="00A3343D"/>
    <w:rsid w:val="00A359EE"/>
    <w:rsid w:val="00A41870"/>
    <w:rsid w:val="00A47687"/>
    <w:rsid w:val="00A52435"/>
    <w:rsid w:val="00A53336"/>
    <w:rsid w:val="00A572C7"/>
    <w:rsid w:val="00A60BE9"/>
    <w:rsid w:val="00A8146F"/>
    <w:rsid w:val="00A91627"/>
    <w:rsid w:val="00AD5571"/>
    <w:rsid w:val="00AE739F"/>
    <w:rsid w:val="00AF16AE"/>
    <w:rsid w:val="00AF630C"/>
    <w:rsid w:val="00B22197"/>
    <w:rsid w:val="00B512E5"/>
    <w:rsid w:val="00B560A4"/>
    <w:rsid w:val="00BA4FD1"/>
    <w:rsid w:val="00BB49B0"/>
    <w:rsid w:val="00BC1A4E"/>
    <w:rsid w:val="00BC5C62"/>
    <w:rsid w:val="00C10347"/>
    <w:rsid w:val="00C25308"/>
    <w:rsid w:val="00C32777"/>
    <w:rsid w:val="00C42BC1"/>
    <w:rsid w:val="00C62BB3"/>
    <w:rsid w:val="00C67BED"/>
    <w:rsid w:val="00C92238"/>
    <w:rsid w:val="00CC5730"/>
    <w:rsid w:val="00CE17BC"/>
    <w:rsid w:val="00D04DC1"/>
    <w:rsid w:val="00D46483"/>
    <w:rsid w:val="00D51242"/>
    <w:rsid w:val="00D553D5"/>
    <w:rsid w:val="00D70C9C"/>
    <w:rsid w:val="00D80EE5"/>
    <w:rsid w:val="00D843B7"/>
    <w:rsid w:val="00D9427D"/>
    <w:rsid w:val="00D954BE"/>
    <w:rsid w:val="00DE5B86"/>
    <w:rsid w:val="00DF0451"/>
    <w:rsid w:val="00DF0998"/>
    <w:rsid w:val="00E42E77"/>
    <w:rsid w:val="00E53B55"/>
    <w:rsid w:val="00EC245A"/>
    <w:rsid w:val="00EE197B"/>
    <w:rsid w:val="00F12899"/>
    <w:rsid w:val="00F208F0"/>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64</cp:revision>
  <dcterms:created xsi:type="dcterms:W3CDTF">2022-03-17T08:46:00Z</dcterms:created>
  <dcterms:modified xsi:type="dcterms:W3CDTF">2022-07-18T08:55:00Z</dcterms:modified>
</cp:coreProperties>
</file>