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呼吸机</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斯蒂芬苏菲</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推注泵（双道）</w:t>
            </w:r>
          </w:p>
        </w:tc>
        <w:tc>
          <w:tcPr>
            <w:tcW w:w="2841" w:type="dxa"/>
          </w:tcPr>
          <w:p>
            <w:pPr>
              <w:widowControl/>
              <w:numPr>
                <w:ilvl w:val="0"/>
                <w:numId w:val="0"/>
              </w:numPr>
              <w:wordWrap w:val="0"/>
              <w:spacing w:line="400" w:lineRule="atLeast"/>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浙大</w:t>
            </w:r>
            <w:r>
              <w:rPr>
                <w:rFonts w:hint="eastAsia" w:ascii="宋体" w:hAnsi="宋体" w:eastAsia="宋体" w:cs="宋体"/>
                <w:sz w:val="24"/>
                <w:szCs w:val="24"/>
                <w:lang w:val="en-US" w:eastAsia="zh-CN"/>
              </w:rPr>
              <w:t>WZS-50F6</w:t>
            </w:r>
          </w:p>
        </w:tc>
        <w:tc>
          <w:tcPr>
            <w:tcW w:w="2841"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推注泵（单道）</w:t>
            </w:r>
          </w:p>
        </w:tc>
        <w:tc>
          <w:tcPr>
            <w:tcW w:w="2841" w:type="dxa"/>
          </w:tcPr>
          <w:p>
            <w:pPr>
              <w:widowControl/>
              <w:numPr>
                <w:ilvl w:val="0"/>
                <w:numId w:val="0"/>
              </w:numPr>
              <w:wordWrap w:val="0"/>
              <w:spacing w:line="400" w:lineRule="atLeast"/>
              <w:jc w:val="left"/>
              <w:rPr>
                <w:rFonts w:ascii="宋体" w:hAnsi="宋体" w:eastAsia="宋体" w:cs="宋体"/>
                <w:sz w:val="24"/>
                <w:szCs w:val="24"/>
              </w:rPr>
            </w:pPr>
            <w:r>
              <w:rPr>
                <w:rFonts w:hint="eastAsia" w:ascii="宋体" w:hAnsi="宋体" w:eastAsia="宋体" w:cs="宋体"/>
                <w:sz w:val="24"/>
                <w:szCs w:val="24"/>
                <w:lang w:eastAsia="zh-CN"/>
              </w:rPr>
              <w:t>浙大</w:t>
            </w:r>
            <w:r>
              <w:rPr>
                <w:rFonts w:hint="eastAsia" w:ascii="宋体" w:hAnsi="宋体" w:eastAsia="宋体" w:cs="宋体"/>
                <w:sz w:val="24"/>
                <w:szCs w:val="24"/>
                <w:lang w:val="en-US" w:eastAsia="zh-CN"/>
              </w:rPr>
              <w:t>WZS-50C6</w:t>
            </w:r>
          </w:p>
        </w:tc>
        <w:tc>
          <w:tcPr>
            <w:tcW w:w="2841"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2016年</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spacing w:line="360" w:lineRule="auto"/>
        <w:rPr>
          <w:rFonts w:hint="eastAsia"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w:t>
      </w:r>
      <w:r>
        <w:rPr>
          <w:rFonts w:hint="eastAsia" w:asciiTheme="minorEastAsia" w:hAnsiTheme="minorEastAsia"/>
          <w:b/>
          <w:bCs/>
          <w:sz w:val="24"/>
          <w:szCs w:val="24"/>
          <w:lang w:eastAsia="zh-CN"/>
        </w:rPr>
        <w:t>技术</w:t>
      </w:r>
      <w:r>
        <w:rPr>
          <w:rFonts w:hint="eastAsia" w:asciiTheme="minorEastAsia" w:hAnsiTheme="minorEastAsia"/>
          <w:b/>
          <w:bCs/>
          <w:sz w:val="24"/>
          <w:szCs w:val="24"/>
        </w:rPr>
        <w:t>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vertAlign w:val="baseline"/>
          <w:lang w:eastAsia="zh-CN"/>
        </w:rPr>
        <w:t>呼吸机（</w:t>
      </w:r>
      <w:r>
        <w:rPr>
          <w:rFonts w:ascii="宋体" w:hAnsi="宋体" w:eastAsia="宋体" w:cs="宋体"/>
          <w:sz w:val="24"/>
          <w:szCs w:val="24"/>
        </w:rPr>
        <w:t>斯蒂芬苏菲</w:t>
      </w:r>
      <w:r>
        <w:rPr>
          <w:rFonts w:hint="eastAsia" w:asciiTheme="minorEastAsia" w:hAnsiTheme="minorEastAsia"/>
          <w:sz w:val="24"/>
          <w:szCs w:val="24"/>
          <w:vertAlign w:val="baseline"/>
          <w:lang w:eastAsia="zh-CN"/>
        </w:rPr>
        <w:t>）需更换主板电磁阀、蓄电池及氧电池，保证设备运行正常</w:t>
      </w:r>
      <w:r>
        <w:rPr>
          <w:rFonts w:hint="eastAsia" w:asciiTheme="minorEastAsia" w:hAnsiTheme="minorEastAsia"/>
          <w:sz w:val="24"/>
          <w:szCs w:val="24"/>
          <w:lang w:val="en-US" w:eastAsia="zh-CN"/>
        </w:rPr>
        <w:t>。</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2.修复推注泵，保证设备运行正常。</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numPr>
          <w:ilvl w:val="0"/>
          <w:numId w:val="0"/>
        </w:numPr>
        <w:rPr>
          <w:rFonts w:hint="eastAsia" w:asciiTheme="minorEastAsia" w:hAnsiTheme="minorEastAsia" w:eastAsiaTheme="minorEastAsia" w:cstheme="minorEastAsia"/>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rPr>
        <w:t>1．</w:t>
      </w:r>
      <w:r>
        <w:rPr>
          <w:rFonts w:hint="eastAsia" w:asciiTheme="minorEastAsia" w:hAnsiTheme="minorEastAsia" w:cstheme="minorEastAsia"/>
          <w:bCs/>
          <w:sz w:val="24"/>
          <w:szCs w:val="24"/>
          <w:lang w:eastAsia="zh-CN"/>
        </w:rPr>
        <w:t>应急储备库医学装备维修服务项目采购预算为：</w:t>
      </w:r>
      <w:r>
        <w:rPr>
          <w:rFonts w:hint="eastAsia" w:asciiTheme="minorEastAsia" w:hAnsiTheme="minorEastAsia" w:cstheme="minorEastAsia"/>
          <w:bCs/>
          <w:sz w:val="24"/>
          <w:szCs w:val="24"/>
          <w:lang w:val="en-US" w:eastAsia="zh-CN"/>
        </w:rPr>
        <w:t>23700元/次。</w:t>
      </w:r>
    </w:p>
    <w:p>
      <w:pPr>
        <w:spacing w:line="360" w:lineRule="auto"/>
        <w:rPr>
          <w:rFonts w:asciiTheme="minorEastAsia" w:hAnsiTheme="minorEastAsia"/>
          <w:sz w:val="24"/>
          <w:szCs w:val="24"/>
        </w:rPr>
      </w:pPr>
      <w:r>
        <w:rPr>
          <w:rFonts w:ascii="Times New Roman" w:hAnsi="宋体"/>
          <w:b/>
          <w:bCs w:val="0"/>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．质保期：</w:t>
      </w:r>
      <w:r>
        <w:rPr>
          <w:rFonts w:hint="eastAsia" w:asciiTheme="minorEastAsia" w:hAnsiTheme="minorEastAsia"/>
          <w:bCs/>
          <w:sz w:val="24"/>
        </w:rPr>
        <w:t>验收合格后至少</w:t>
      </w:r>
      <w:r>
        <w:rPr>
          <w:rFonts w:hint="eastAsia" w:asciiTheme="minorEastAsia" w:hAnsiTheme="minorEastAsia"/>
          <w:bCs/>
          <w:sz w:val="24"/>
          <w:lang w:val="en-US" w:eastAsia="zh-CN"/>
        </w:rPr>
        <w:t>6个月</w:t>
      </w:r>
      <w:r>
        <w:rPr>
          <w:rFonts w:hint="eastAsia" w:asciiTheme="minorEastAsia" w:hAnsiTheme="minorEastAsia"/>
          <w:sz w:val="24"/>
          <w:szCs w:val="24"/>
        </w:rPr>
        <w:t>。</w:t>
      </w:r>
    </w:p>
    <w:p>
      <w:pPr>
        <w:spacing w:line="360" w:lineRule="auto"/>
        <w:ind w:left="-424" w:leftChars="-202" w:right="-483" w:rightChars="-230" w:firstLine="424" w:firstLineChars="176"/>
        <w:rPr>
          <w:rFonts w:asciiTheme="minorEastAsia" w:hAnsiTheme="minorEastAsia"/>
          <w:bCs/>
          <w:sz w:val="24"/>
        </w:rPr>
      </w:pPr>
      <w:r>
        <w:rPr>
          <w:rFonts w:ascii="Times New Roman" w:hAnsi="宋体"/>
          <w:b/>
          <w:bCs w:val="0"/>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7</w:t>
      </w:r>
      <w:r>
        <w:rPr>
          <w:rFonts w:hint="eastAsia" w:asciiTheme="minorEastAsia" w:hAnsiTheme="minorEastAsia"/>
          <w:bCs/>
          <w:sz w:val="24"/>
        </w:rPr>
        <w:t>日内完成</w:t>
      </w:r>
      <w:r>
        <w:rPr>
          <w:rFonts w:hint="eastAsia" w:asciiTheme="minorEastAsia" w:hAnsiTheme="minorEastAsia"/>
          <w:bCs/>
          <w:sz w:val="24"/>
          <w:lang w:eastAsia="zh-CN"/>
        </w:rPr>
        <w:t>维修服务</w:t>
      </w:r>
      <w:r>
        <w:rPr>
          <w:rFonts w:hint="eastAsia" w:asciiTheme="minorEastAsia" w:hAnsiTheme="minorEastAsia"/>
          <w:bCs/>
          <w:sz w:val="24"/>
        </w:rPr>
        <w:t>并交付采购人验收。</w:t>
      </w:r>
    </w:p>
    <w:p>
      <w:pPr>
        <w:spacing w:line="276" w:lineRule="auto"/>
        <w:rPr>
          <w:rFonts w:hint="eastAsia" w:asciiTheme="minorEastAsia" w:hAnsiTheme="minorEastAsia" w:eastAsiaTheme="minorEastAsia" w:cstheme="minorEastAsia"/>
          <w:bCs/>
          <w:sz w:val="24"/>
          <w:szCs w:val="24"/>
          <w:lang w:val="en-US" w:eastAsia="zh-CN"/>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．付款方法和条件：</w:t>
      </w:r>
      <w:r>
        <w:rPr>
          <w:rFonts w:hint="eastAsia" w:asciiTheme="minorEastAsia" w:hAnsiTheme="minorEastAsia" w:cstheme="minorEastAsia"/>
          <w:bCs/>
          <w:sz w:val="24"/>
          <w:szCs w:val="24"/>
          <w:lang w:eastAsia="zh-CN"/>
        </w:rPr>
        <w:t>设备维修并由采购人验收完成后，</w:t>
      </w:r>
      <w:r>
        <w:rPr>
          <w:rFonts w:hint="eastAsia" w:asciiTheme="minorEastAsia" w:hAnsiTheme="minorEastAsia" w:eastAsiaTheme="minorEastAsia" w:cstheme="minorEastAsia"/>
          <w:bCs/>
          <w:sz w:val="24"/>
          <w:szCs w:val="24"/>
        </w:rPr>
        <w:t>中标人须向采购人出具合法有效完整的完税发票及凭证资</w:t>
      </w:r>
      <w:r>
        <w:rPr>
          <w:rFonts w:hint="eastAsia" w:asciiTheme="minorEastAsia" w:hAnsiTheme="minorEastAsia"/>
          <w:bCs/>
          <w:sz w:val="24"/>
        </w:rPr>
        <w:t>料，采购人</w:t>
      </w:r>
      <w:r>
        <w:rPr>
          <w:rFonts w:hint="eastAsia" w:asciiTheme="minorEastAsia" w:hAnsiTheme="minorEastAsia"/>
          <w:bCs/>
          <w:sz w:val="24"/>
          <w:lang w:eastAsia="zh-CN"/>
        </w:rPr>
        <w:t>一次性</w:t>
      </w:r>
      <w:r>
        <w:rPr>
          <w:rFonts w:hint="eastAsia" w:asciiTheme="minorEastAsia" w:hAnsiTheme="minorEastAsia"/>
          <w:bCs/>
          <w:sz w:val="24"/>
        </w:rPr>
        <w:t>支付结算。</w:t>
      </w:r>
      <w:r>
        <w:rPr>
          <w:rFonts w:hint="eastAsia" w:asciiTheme="minorEastAsia" w:hAnsiTheme="minorEastAsia" w:cstheme="minorEastAsia"/>
          <w:bCs/>
          <w:sz w:val="24"/>
          <w:szCs w:val="24"/>
          <w:lang w:val="en-US" w:eastAsia="zh-CN"/>
        </w:rPr>
        <w:t xml:space="preserve">    </w:t>
      </w:r>
    </w:p>
    <w:p>
      <w:pPr>
        <w:pStyle w:val="3"/>
        <w:spacing w:line="276" w:lineRule="auto"/>
        <w:ind w:firstLine="0" w:firstLineChars="0"/>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．报价方式：</w:t>
      </w:r>
      <w:r>
        <w:rPr>
          <w:rFonts w:hint="eastAsia" w:asciiTheme="minorEastAsia" w:hAnsiTheme="minorEastAsia" w:eastAsiaTheme="minorEastAsia" w:cstheme="minorEastAsia"/>
          <w:bCs/>
          <w:sz w:val="24"/>
          <w:szCs w:val="24"/>
          <w:lang w:eastAsia="zh-CN"/>
        </w:rPr>
        <w:t>报价不得超过</w:t>
      </w:r>
      <w:r>
        <w:rPr>
          <w:rFonts w:hint="eastAsia" w:asciiTheme="minorEastAsia" w:hAnsiTheme="minorEastAsia" w:eastAsiaTheme="minorEastAsia" w:cstheme="minorEastAsia"/>
          <w:bCs/>
          <w:sz w:val="24"/>
          <w:szCs w:val="24"/>
        </w:rPr>
        <w:t>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超过最高限价的报价为无效报价。</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eastAsia="zh-CN"/>
        </w:rPr>
      </w:pPr>
      <w:r>
        <w:rPr>
          <w:rFonts w:ascii="Times New Roman" w:hAnsi="宋体"/>
          <w:b/>
          <w:bCs w:val="0"/>
          <w:sz w:val="24"/>
          <w:szCs w:val="24"/>
        </w:rPr>
        <w:t>★</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eastAsia="zh-CN"/>
        </w:rPr>
        <w:t>验收</w:t>
      </w:r>
      <w:r>
        <w:rPr>
          <w:rFonts w:hint="eastAsia" w:asciiTheme="minorEastAsia" w:hAnsiTheme="minorEastAsia" w:eastAsiaTheme="minorEastAsia" w:cstheme="minorEastAsia"/>
          <w:b w:val="0"/>
          <w:bCs w:val="0"/>
          <w:sz w:val="24"/>
          <w:szCs w:val="24"/>
        </w:rPr>
        <w:t>要求：</w:t>
      </w:r>
      <w:r>
        <w:rPr>
          <w:rFonts w:hint="eastAsia" w:asciiTheme="minorEastAsia" w:hAnsiTheme="minorEastAsia" w:cstheme="minorEastAsia"/>
          <w:b w:val="0"/>
          <w:bCs w:val="0"/>
          <w:sz w:val="24"/>
          <w:szCs w:val="24"/>
          <w:lang w:eastAsia="zh-CN"/>
        </w:rPr>
        <w:t>中标人完成设备维修后，采购人需现场对设备进行开机测试，检测通过后，需填写完整的维修记录报告，并签字确认。</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548" w:type="dxa"/>
        <w:tblInd w:w="108" w:type="dxa"/>
        <w:shd w:val="clear" w:color="auto" w:fill="FFFFFF"/>
        <w:tblLayout w:type="fixed"/>
        <w:tblCellMar>
          <w:top w:w="0" w:type="dxa"/>
          <w:left w:w="0" w:type="dxa"/>
          <w:bottom w:w="0" w:type="dxa"/>
          <w:right w:w="0" w:type="dxa"/>
        </w:tblCellMar>
      </w:tblPr>
      <w:tblGrid>
        <w:gridCol w:w="2098"/>
        <w:gridCol w:w="1260"/>
        <w:gridCol w:w="1260"/>
        <w:gridCol w:w="750"/>
        <w:gridCol w:w="915"/>
        <w:gridCol w:w="885"/>
        <w:gridCol w:w="1380"/>
      </w:tblGrid>
      <w:tr>
        <w:tblPrEx>
          <w:shd w:val="clear" w:color="auto" w:fill="FFFFFF"/>
          <w:tblLayout w:type="fixed"/>
          <w:tblCellMar>
            <w:top w:w="0" w:type="dxa"/>
            <w:left w:w="0" w:type="dxa"/>
            <w:bottom w:w="0" w:type="dxa"/>
            <w:right w:w="0" w:type="dxa"/>
          </w:tblCellMar>
        </w:tblPrEx>
        <w:trPr>
          <w:trHeight w:val="735" w:hRule="atLeast"/>
        </w:trPr>
        <w:tc>
          <w:tcPr>
            <w:tcW w:w="20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1380"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Layout w:type="fixed"/>
          <w:tblCellMar>
            <w:top w:w="0" w:type="dxa"/>
            <w:left w:w="0" w:type="dxa"/>
            <w:bottom w:w="0" w:type="dxa"/>
            <w:right w:w="0" w:type="dxa"/>
          </w:tblCellMar>
        </w:tblPrEx>
        <w:trPr>
          <w:trHeight w:val="460" w:hRule="atLeast"/>
        </w:trPr>
        <w:tc>
          <w:tcPr>
            <w:tcW w:w="20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380"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Ind w:w="230" w:type="dxa"/>
        <w:tblLayout w:type="fixed"/>
        <w:tblCellMar>
          <w:top w:w="0" w:type="dxa"/>
          <w:left w:w="0" w:type="dxa"/>
          <w:bottom w:w="0" w:type="dxa"/>
          <w:right w:w="0" w:type="dxa"/>
        </w:tblCellMar>
      </w:tblPr>
      <w:tblGrid>
        <w:gridCol w:w="1256"/>
        <w:gridCol w:w="2855"/>
        <w:gridCol w:w="2855"/>
        <w:gridCol w:w="1380"/>
      </w:tblGrid>
      <w:tr>
        <w:tblPrEx>
          <w:tblLayout w:type="fixed"/>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Layout w:type="fixed"/>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Layout w:type="fixed"/>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eastAsia="zh-CN"/>
        </w:rPr>
        <w:t>应急储备库医学装备维修服务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lang w:eastAsia="zh-CN"/>
        </w:rPr>
        <w:t>应急储备库医学装备维修服务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bookmarkStart w:id="2" w:name="_GoBack"/>
      <w:bookmarkEnd w:id="2"/>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0C1F0013"/>
    <w:rsid w:val="0F5247E8"/>
    <w:rsid w:val="163B3354"/>
    <w:rsid w:val="17D57746"/>
    <w:rsid w:val="1BA02DF9"/>
    <w:rsid w:val="1C5B6FD9"/>
    <w:rsid w:val="1DC96265"/>
    <w:rsid w:val="20777DB3"/>
    <w:rsid w:val="21F96130"/>
    <w:rsid w:val="22DB5953"/>
    <w:rsid w:val="24854052"/>
    <w:rsid w:val="25420C37"/>
    <w:rsid w:val="27156822"/>
    <w:rsid w:val="278F0112"/>
    <w:rsid w:val="297612E9"/>
    <w:rsid w:val="2C8513EB"/>
    <w:rsid w:val="2FB52654"/>
    <w:rsid w:val="341F19A0"/>
    <w:rsid w:val="34A63079"/>
    <w:rsid w:val="356F701A"/>
    <w:rsid w:val="38950F74"/>
    <w:rsid w:val="3CBE15E0"/>
    <w:rsid w:val="3D6657A8"/>
    <w:rsid w:val="40DD693C"/>
    <w:rsid w:val="42C5392E"/>
    <w:rsid w:val="494E5D24"/>
    <w:rsid w:val="49A6228A"/>
    <w:rsid w:val="4A0014A9"/>
    <w:rsid w:val="4A2630EC"/>
    <w:rsid w:val="4D681C31"/>
    <w:rsid w:val="52A563B4"/>
    <w:rsid w:val="56DF4CDA"/>
    <w:rsid w:val="5A6F2897"/>
    <w:rsid w:val="5BE81C26"/>
    <w:rsid w:val="5E9561CC"/>
    <w:rsid w:val="60492E82"/>
    <w:rsid w:val="61D948ED"/>
    <w:rsid w:val="62BC2754"/>
    <w:rsid w:val="6563157F"/>
    <w:rsid w:val="6AA3318C"/>
    <w:rsid w:val="6B3D35B9"/>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0</TotalTime>
  <ScaleCrop>false</ScaleCrop>
  <LinksUpToDate>false</LinksUpToDate>
  <CharactersWithSpaces>32914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lenovo</cp:lastModifiedBy>
  <dcterms:modified xsi:type="dcterms:W3CDTF">2022-08-03T02:04:58Z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