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val="0"/>
        <w:snapToGrid w:val="0"/>
        <w:spacing w:before="120" w:after="120" w:line="240" w:lineRule="auto"/>
        <w:jc w:val="left"/>
        <w:rPr>
          <w:rFonts w:hint="eastAsia" w:ascii="楷体" w:hAnsi="楷体" w:eastAsia="楷体"/>
          <w:sz w:val="44"/>
          <w:szCs w:val="44"/>
        </w:rPr>
      </w:pPr>
      <w:r>
        <w:rPr>
          <w:rFonts w:hint="eastAsia" w:ascii="微软雅黑" w:hAnsi="微软雅黑" w:eastAsia="微软雅黑"/>
          <w:b w:val="0"/>
          <w:color w:val="000000"/>
          <w:sz w:val="28"/>
          <w:szCs w:val="21"/>
        </w:rPr>
        <w:t>附件1：</w:t>
      </w:r>
    </w:p>
    <w:p>
      <w:pPr>
        <w:pStyle w:val="4"/>
        <w:pageBreakBefore w:val="0"/>
        <w:kinsoku/>
        <w:wordWrap/>
        <w:overflowPunct/>
        <w:topLinePunct w:val="0"/>
        <w:autoSpaceDE/>
        <w:autoSpaceDN/>
        <w:bidi w:val="0"/>
        <w:adjustRightInd w:val="0"/>
        <w:snapToGrid w:val="0"/>
        <w:spacing w:line="240" w:lineRule="auto"/>
        <w:jc w:val="center"/>
        <w:rPr>
          <w:rFonts w:hint="eastAsia" w:ascii="楷体" w:hAnsi="楷体" w:eastAsia="楷体"/>
          <w:sz w:val="44"/>
          <w:szCs w:val="44"/>
        </w:rPr>
      </w:pPr>
      <w:r>
        <w:rPr>
          <w:rFonts w:hint="eastAsia" w:ascii="楷体" w:hAnsi="楷体" w:eastAsia="楷体"/>
          <w:sz w:val="44"/>
          <w:szCs w:val="44"/>
        </w:rPr>
        <w:t>招标参数</w:t>
      </w:r>
    </w:p>
    <w:p>
      <w:pPr>
        <w:pageBreakBefore w:val="0"/>
        <w:kinsoku/>
        <w:wordWrap/>
        <w:overflowPunct/>
        <w:topLinePunct w:val="0"/>
        <w:autoSpaceDE/>
        <w:autoSpaceDN/>
        <w:bidi w:val="0"/>
        <w:adjustRightInd w:val="0"/>
        <w:snapToGrid w:val="0"/>
        <w:spacing w:line="240" w:lineRule="auto"/>
        <w:rPr>
          <w:rFonts w:hint="eastAsia" w:ascii="楷体" w:hAnsi="楷体" w:eastAsia="楷体"/>
          <w:sz w:val="44"/>
          <w:szCs w:val="44"/>
          <w:lang w:val="en-US" w:eastAsia="zh-CN"/>
        </w:rPr>
      </w:pPr>
      <w:r>
        <w:rPr>
          <w:rFonts w:hint="eastAsia" w:ascii="楷体" w:hAnsi="楷体" w:eastAsia="楷体"/>
          <w:sz w:val="44"/>
          <w:szCs w:val="44"/>
          <w:lang w:val="en-US" w:eastAsia="zh-CN"/>
        </w:rPr>
        <w:t>说明：</w:t>
      </w:r>
    </w:p>
    <w:p>
      <w:pPr>
        <w:pStyle w:val="2"/>
        <w:pageBreakBefore w:val="0"/>
        <w:kinsoku/>
        <w:wordWrap/>
        <w:overflowPunct/>
        <w:topLinePunct w:val="0"/>
        <w:autoSpaceDE/>
        <w:autoSpaceDN/>
        <w:bidi w:val="0"/>
        <w:adjustRightInd w:val="0"/>
        <w:snapToGrid w:val="0"/>
        <w:spacing w:after="0" w:line="240" w:lineRule="auto"/>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r>
        <w:rPr>
          <w:rFonts w:hint="eastAsia" w:ascii="宋体" w:hAnsi="宋体" w:eastAsia="宋体" w:cs="宋体"/>
          <w:b/>
          <w:color w:val="auto"/>
          <w:sz w:val="24"/>
          <w:highlight w:val="none"/>
        </w:rPr>
        <w:t>“▲”符号的条款为本项目的重要参数条款，未标识符号的条款为一般参数条款。</w:t>
      </w:r>
    </w:p>
    <w:p>
      <w:pPr>
        <w:pStyle w:val="8"/>
        <w:pageBreakBefore w:val="0"/>
        <w:kinsoku/>
        <w:wordWrap/>
        <w:overflowPunct/>
        <w:topLinePunct w:val="0"/>
        <w:autoSpaceDE/>
        <w:autoSpaceDN/>
        <w:bidi w:val="0"/>
        <w:adjustRightInd w:val="0"/>
        <w:snapToGrid w:val="0"/>
        <w:spacing w:line="240" w:lineRule="auto"/>
        <w:rPr>
          <w:rFonts w:hint="eastAsia"/>
          <w:lang w:val="en-US" w:eastAsia="zh-CN"/>
        </w:rPr>
      </w:pPr>
    </w:p>
    <w:p>
      <w:pPr>
        <w:pStyle w:val="18"/>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黑体" w:hAnsi="黑体" w:eastAsia="黑体" w:cs="黑体"/>
          <w:b/>
          <w:color w:val="000000"/>
          <w:sz w:val="32"/>
          <w:szCs w:val="32"/>
        </w:rPr>
      </w:pPr>
      <w:r>
        <w:rPr>
          <w:rFonts w:hint="eastAsia" w:ascii="黑体" w:hAnsi="黑体" w:eastAsia="黑体" w:cs="黑体"/>
          <w:b/>
          <w:color w:val="000000"/>
          <w:sz w:val="32"/>
          <w:szCs w:val="32"/>
          <w:lang w:val="en-US" w:eastAsia="zh-CN"/>
        </w:rPr>
        <w:t>预算及</w:t>
      </w:r>
      <w:r>
        <w:rPr>
          <w:rFonts w:hint="eastAsia" w:ascii="黑体" w:hAnsi="黑体" w:eastAsia="黑体" w:cs="黑体"/>
          <w:b/>
          <w:color w:val="000000"/>
          <w:sz w:val="32"/>
          <w:szCs w:val="32"/>
        </w:rPr>
        <w:t>采购货物清单</w:t>
      </w:r>
    </w:p>
    <w:p>
      <w:pPr>
        <w:pStyle w:val="18"/>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项目总预算：3万</w:t>
      </w:r>
    </w:p>
    <w:p>
      <w:pPr>
        <w:pStyle w:val="18"/>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最高限价：3万</w:t>
      </w:r>
    </w:p>
    <w:p>
      <w:pPr>
        <w:pStyle w:val="18"/>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服务清单</w:t>
      </w:r>
    </w:p>
    <w:tbl>
      <w:tblPr>
        <w:tblStyle w:val="11"/>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364"/>
        <w:gridCol w:w="1201"/>
        <w:gridCol w:w="1321"/>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eastAsia" w:ascii="宋体" w:hAnsi="宋体"/>
                <w:b/>
                <w:bCs/>
                <w:color w:val="000000"/>
                <w:kern w:val="0"/>
                <w:szCs w:val="21"/>
              </w:rPr>
            </w:pPr>
            <w:r>
              <w:rPr>
                <w:rFonts w:hint="eastAsia" w:ascii="宋体" w:hAnsi="宋体"/>
                <w:b/>
                <w:bCs/>
                <w:color w:val="000000"/>
                <w:kern w:val="0"/>
                <w:szCs w:val="21"/>
              </w:rPr>
              <w:t>序号</w:t>
            </w:r>
          </w:p>
        </w:tc>
        <w:tc>
          <w:tcPr>
            <w:tcW w:w="3364"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default" w:ascii="宋体" w:hAnsi="宋体" w:eastAsiaTheme="minorEastAsia"/>
                <w:b/>
                <w:bCs/>
                <w:color w:val="000000"/>
                <w:kern w:val="0"/>
                <w:szCs w:val="21"/>
                <w:lang w:val="en-US" w:eastAsia="zh-CN"/>
              </w:rPr>
            </w:pPr>
            <w:r>
              <w:rPr>
                <w:rFonts w:hint="eastAsia" w:ascii="宋体" w:hAnsi="宋体"/>
                <w:b/>
                <w:bCs/>
                <w:color w:val="000000"/>
                <w:kern w:val="0"/>
                <w:szCs w:val="21"/>
                <w:lang w:val="en-US" w:eastAsia="zh-CN"/>
              </w:rPr>
              <w:t>服务项</w:t>
            </w:r>
          </w:p>
        </w:tc>
        <w:tc>
          <w:tcPr>
            <w:tcW w:w="1201"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eastAsia" w:ascii="宋体" w:hAnsi="宋体"/>
                <w:b/>
                <w:bCs/>
                <w:color w:val="000000"/>
                <w:kern w:val="0"/>
                <w:szCs w:val="21"/>
              </w:rPr>
            </w:pPr>
            <w:r>
              <w:rPr>
                <w:rFonts w:hint="eastAsia" w:ascii="宋体" w:hAnsi="宋体"/>
                <w:b/>
                <w:bCs/>
                <w:color w:val="000000"/>
                <w:kern w:val="0"/>
                <w:szCs w:val="21"/>
              </w:rPr>
              <w:t>单位</w:t>
            </w:r>
          </w:p>
        </w:tc>
        <w:tc>
          <w:tcPr>
            <w:tcW w:w="1321"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eastAsia" w:ascii="宋体" w:hAnsi="宋体"/>
                <w:b/>
                <w:bCs/>
                <w:color w:val="000000"/>
                <w:kern w:val="0"/>
                <w:szCs w:val="21"/>
              </w:rPr>
            </w:pPr>
            <w:r>
              <w:rPr>
                <w:rFonts w:hint="eastAsia" w:ascii="宋体" w:hAnsi="宋体"/>
                <w:b/>
                <w:bCs/>
                <w:color w:val="000000"/>
                <w:kern w:val="0"/>
                <w:szCs w:val="21"/>
              </w:rPr>
              <w:t>数量</w:t>
            </w:r>
          </w:p>
        </w:tc>
        <w:tc>
          <w:tcPr>
            <w:tcW w:w="1340"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eastAsia" w:ascii="宋体" w:hAnsi="宋体"/>
                <w:b/>
                <w:bCs/>
                <w:color w:val="000000"/>
                <w:kern w:val="0"/>
                <w:szCs w:val="21"/>
              </w:rPr>
            </w:pPr>
            <w:r>
              <w:rPr>
                <w:rFonts w:hint="eastAsia" w:ascii="宋体" w:hAnsi="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eastAsia" w:ascii="宋体" w:hAnsi="宋体"/>
                <w:color w:val="000000"/>
                <w:kern w:val="0"/>
                <w:szCs w:val="21"/>
              </w:rPr>
            </w:pPr>
            <w:r>
              <w:rPr>
                <w:rFonts w:hint="eastAsia" w:ascii="宋体" w:hAnsi="宋体"/>
                <w:color w:val="000000"/>
                <w:kern w:val="0"/>
                <w:szCs w:val="21"/>
              </w:rPr>
              <w:t>1</w:t>
            </w:r>
          </w:p>
        </w:tc>
        <w:tc>
          <w:tcPr>
            <w:tcW w:w="3364"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ascii="宋体" w:hAnsi="宋体"/>
                <w:color w:val="000000"/>
                <w:kern w:val="0"/>
                <w:szCs w:val="21"/>
              </w:rPr>
            </w:pPr>
            <w:r>
              <w:rPr>
                <w:rFonts w:hint="eastAsia" w:ascii="仿宋" w:hAnsi="仿宋" w:eastAsia="仿宋" w:cs="仿宋"/>
                <w:b w:val="0"/>
                <w:bCs/>
                <w:color w:val="000000"/>
                <w:kern w:val="2"/>
                <w:sz w:val="28"/>
                <w:szCs w:val="28"/>
                <w:lang w:val="en-US" w:eastAsia="zh-CN" w:bidi="ar-SA"/>
              </w:rPr>
              <w:t>四川省法定传染病监测信息报告自动交换</w:t>
            </w:r>
          </w:p>
        </w:tc>
        <w:tc>
          <w:tcPr>
            <w:tcW w:w="1201"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hint="eastAsia" w:ascii="宋体" w:hAnsi="宋体"/>
                <w:color w:val="000000"/>
                <w:kern w:val="0"/>
                <w:szCs w:val="21"/>
              </w:rPr>
            </w:pPr>
            <w:r>
              <w:rPr>
                <w:rFonts w:hint="eastAsia" w:ascii="宋体" w:hAnsi="宋体"/>
                <w:color w:val="000000"/>
                <w:kern w:val="0"/>
                <w:szCs w:val="21"/>
              </w:rPr>
              <w:t>套</w:t>
            </w:r>
          </w:p>
        </w:tc>
        <w:tc>
          <w:tcPr>
            <w:tcW w:w="1321"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ascii="宋体" w:hAnsi="宋体"/>
                <w:color w:val="000000"/>
                <w:kern w:val="0"/>
                <w:szCs w:val="21"/>
              </w:rPr>
            </w:pPr>
            <w:r>
              <w:rPr>
                <w:rFonts w:ascii="宋体" w:hAnsi="宋体"/>
                <w:color w:val="000000"/>
                <w:kern w:val="0"/>
                <w:szCs w:val="21"/>
              </w:rPr>
              <w:t>1</w:t>
            </w:r>
          </w:p>
        </w:tc>
        <w:tc>
          <w:tcPr>
            <w:tcW w:w="1340" w:type="dxa"/>
            <w:noWrap w:val="0"/>
            <w:vAlign w:val="center"/>
          </w:tcPr>
          <w:p>
            <w:pPr>
              <w:pageBreakBefore w:val="0"/>
              <w:widowControl/>
              <w:kinsoku/>
              <w:wordWrap/>
              <w:overflowPunct/>
              <w:topLinePunct w:val="0"/>
              <w:autoSpaceDE/>
              <w:autoSpaceDN/>
              <w:bidi w:val="0"/>
              <w:adjustRightInd w:val="0"/>
              <w:snapToGrid w:val="0"/>
              <w:spacing w:line="240" w:lineRule="auto"/>
              <w:contextualSpacing/>
              <w:jc w:val="center"/>
              <w:rPr>
                <w:rFonts w:ascii="宋体" w:hAnsi="宋体"/>
                <w:color w:val="000000"/>
                <w:kern w:val="0"/>
                <w:szCs w:val="21"/>
              </w:rPr>
            </w:pPr>
            <w:r>
              <w:rPr>
                <w:rFonts w:hint="eastAsia" w:ascii="宋体" w:hAnsi="宋体"/>
                <w:color w:val="000000"/>
                <w:kern w:val="0"/>
                <w:szCs w:val="21"/>
              </w:rPr>
              <w:t>无</w:t>
            </w:r>
          </w:p>
        </w:tc>
      </w:tr>
    </w:tbl>
    <w:p>
      <w:pPr>
        <w:pageBreakBefore w:val="0"/>
        <w:kinsoku/>
        <w:wordWrap/>
        <w:overflowPunct/>
        <w:topLinePunct w:val="0"/>
        <w:autoSpaceDE/>
        <w:autoSpaceDN/>
        <w:bidi w:val="0"/>
        <w:adjustRightInd w:val="0"/>
        <w:snapToGrid w:val="0"/>
        <w:spacing w:line="240" w:lineRule="auto"/>
        <w:contextualSpacing/>
        <w:rPr>
          <w:rFonts w:ascii="宋体" w:hAnsi="宋体"/>
          <w:szCs w:val="21"/>
        </w:rPr>
      </w:pPr>
    </w:p>
    <w:p>
      <w:pPr>
        <w:pStyle w:val="18"/>
        <w:pageBreakBefore w:val="0"/>
        <w:widowControl w:val="0"/>
        <w:numPr>
          <w:ilvl w:val="0"/>
          <w:numId w:val="1"/>
        </w:numPr>
        <w:kinsoku/>
        <w:wordWrap/>
        <w:overflowPunct/>
        <w:topLinePunct w:val="0"/>
        <w:autoSpaceDE/>
        <w:autoSpaceDN/>
        <w:bidi w:val="0"/>
        <w:adjustRightInd w:val="0"/>
        <w:snapToGrid w:val="0"/>
        <w:spacing w:before="156" w:beforeLines="50" w:after="156" w:afterLines="50" w:line="288" w:lineRule="auto"/>
        <w:ind w:left="0" w:firstLine="0" w:firstLineChars="0"/>
        <w:contextualSpacing/>
        <w:textAlignment w:val="auto"/>
        <w:outlineLvl w:val="0"/>
        <w:rPr>
          <w:rFonts w:hint="eastAsia" w:ascii="黑体" w:hAnsi="黑体" w:eastAsia="黑体" w:cs="黑体"/>
          <w:b/>
          <w:color w:val="000000"/>
          <w:sz w:val="32"/>
          <w:szCs w:val="32"/>
        </w:rPr>
      </w:pPr>
      <w:r>
        <w:rPr>
          <w:rFonts w:hint="eastAsia" w:ascii="黑体" w:hAnsi="黑体" w:eastAsia="黑体" w:cs="黑体"/>
          <w:b/>
          <w:color w:val="000000"/>
          <w:sz w:val="32"/>
          <w:szCs w:val="32"/>
        </w:rPr>
        <w:t>技术参数要求</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88" w:lineRule="auto"/>
        <w:ind w:leftChars="0"/>
        <w:textAlignment w:val="auto"/>
        <w:rPr>
          <w:rFonts w:hint="default"/>
          <w:lang w:val="en-US" w:eastAsia="zh-CN"/>
        </w:rPr>
      </w:pPr>
      <w:r>
        <w:rPr>
          <w:rFonts w:hint="eastAsia"/>
          <w:lang w:val="en-US" w:eastAsia="zh-CN"/>
        </w:rPr>
        <w:t>2.1 总体要求</w:t>
      </w:r>
    </w:p>
    <w:p>
      <w:pPr>
        <w:pageBreakBefore w:val="0"/>
        <w:widowControl w:val="0"/>
        <w:numPr>
          <w:ilvl w:val="0"/>
          <w:numId w:val="3"/>
        </w:numPr>
        <w:kinsoku/>
        <w:wordWrap/>
        <w:overflowPunct/>
        <w:topLinePunct w:val="0"/>
        <w:autoSpaceDE/>
        <w:autoSpaceDN/>
        <w:bidi w:val="0"/>
        <w:adjustRightInd w:val="0"/>
        <w:snapToGrid w:val="0"/>
        <w:spacing w:line="288" w:lineRule="auto"/>
        <w:textAlignment w:val="auto"/>
        <w:rPr>
          <w:rFonts w:hint="eastAsia" w:cs="仿宋" w:asciiTheme="minorEastAsia" w:hAnsiTheme="minorEastAsia"/>
        </w:rPr>
      </w:pPr>
      <w:r>
        <w:rPr>
          <w:rFonts w:hint="eastAsia" w:ascii="宋体" w:hAnsi="宋体" w:cs="宋体"/>
          <w:b/>
          <w:bCs/>
          <w:sz w:val="24"/>
        </w:rPr>
        <w:t>★</w:t>
      </w:r>
      <w:r>
        <w:rPr>
          <w:rFonts w:hint="eastAsia" w:cs="仿宋" w:asciiTheme="minorEastAsia" w:hAnsiTheme="minorEastAsia"/>
        </w:rPr>
        <w:t>所有数据需符合《中国疾病预防控制中心公共卫生传染病、慢病及死亡信息交换数据集规范》的要求。</w:t>
      </w:r>
    </w:p>
    <w:p>
      <w:pPr>
        <w:pageBreakBefore w:val="0"/>
        <w:widowControl w:val="0"/>
        <w:numPr>
          <w:ilvl w:val="0"/>
          <w:numId w:val="3"/>
        </w:numPr>
        <w:kinsoku/>
        <w:wordWrap/>
        <w:overflowPunct/>
        <w:topLinePunct w:val="0"/>
        <w:autoSpaceDE/>
        <w:autoSpaceDN/>
        <w:bidi w:val="0"/>
        <w:adjustRightInd w:val="0"/>
        <w:snapToGrid w:val="0"/>
        <w:spacing w:line="288" w:lineRule="auto"/>
        <w:textAlignment w:val="auto"/>
        <w:rPr>
          <w:rFonts w:cs="仿宋" w:asciiTheme="minorEastAsia" w:hAnsiTheme="minorEastAsia"/>
        </w:rPr>
      </w:pPr>
      <w:r>
        <w:rPr>
          <w:rFonts w:hint="eastAsia" w:ascii="宋体" w:hAnsi="宋体" w:cs="宋体"/>
          <w:b/>
          <w:bCs/>
          <w:sz w:val="24"/>
        </w:rPr>
        <w:t>★</w:t>
      </w:r>
      <w:r>
        <w:rPr>
          <w:rFonts w:hint="eastAsia" w:cs="仿宋" w:asciiTheme="minorEastAsia" w:hAnsiTheme="minorEastAsia"/>
        </w:rPr>
        <w:t>整体流程需符合四川省疾控中心的《数据交换平台上行数据WEBService接口开发规范（2020试行版）》的要求。</w:t>
      </w:r>
    </w:p>
    <w:p>
      <w:pPr>
        <w:pageBreakBefore w:val="0"/>
        <w:widowControl w:val="0"/>
        <w:numPr>
          <w:ilvl w:val="0"/>
          <w:numId w:val="3"/>
        </w:numPr>
        <w:kinsoku/>
        <w:wordWrap/>
        <w:overflowPunct/>
        <w:topLinePunct w:val="0"/>
        <w:autoSpaceDE/>
        <w:autoSpaceDN/>
        <w:bidi w:val="0"/>
        <w:adjustRightInd w:val="0"/>
        <w:snapToGrid w:val="0"/>
        <w:spacing w:line="288" w:lineRule="auto"/>
        <w:textAlignment w:val="auto"/>
        <w:rPr>
          <w:rFonts w:hint="default" w:ascii="宋体" w:hAnsi="宋体" w:cs="宋体"/>
          <w:b w:val="0"/>
          <w:bCs w:val="0"/>
          <w:sz w:val="24"/>
          <w:lang w:val="en-US" w:eastAsia="zh-CN"/>
        </w:rPr>
      </w:pPr>
      <w:r>
        <w:rPr>
          <w:rFonts w:hint="eastAsia" w:ascii="宋体" w:hAnsi="宋体" w:cs="宋体"/>
          <w:b w:val="0"/>
          <w:bCs w:val="0"/>
          <w:sz w:val="24"/>
        </w:rPr>
        <w:t>★需实现与本院院感监测系统进行无缝对接</w:t>
      </w:r>
      <w:r>
        <w:rPr>
          <w:rFonts w:hint="eastAsia" w:ascii="宋体" w:hAnsi="宋体" w:cs="宋体"/>
          <w:b w:val="0"/>
          <w:bCs w:val="0"/>
          <w:sz w:val="24"/>
          <w:lang w:eastAsia="zh-CN"/>
        </w:rPr>
        <w:t>，费用由中标方承担。</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88" w:lineRule="auto"/>
        <w:ind w:leftChars="0"/>
        <w:textAlignment w:val="auto"/>
        <w:rPr>
          <w:rFonts w:hint="default" w:eastAsiaTheme="majorEastAsia"/>
          <w:lang w:val="en-US" w:eastAsia="zh-CN"/>
        </w:rPr>
      </w:pPr>
      <w:r>
        <w:rPr>
          <w:rFonts w:hint="eastAsia"/>
          <w:lang w:val="en-US" w:eastAsia="zh-CN"/>
        </w:rPr>
        <w:t xml:space="preserve">2.2 </w:t>
      </w:r>
      <w:r>
        <w:rPr>
          <w:rFonts w:hint="eastAsia"/>
        </w:rPr>
        <w:t>功能参数</w:t>
      </w:r>
      <w:r>
        <w:rPr>
          <w:rFonts w:hint="eastAsia"/>
          <w:lang w:val="en-US" w:eastAsia="zh-CN"/>
        </w:rPr>
        <w:t>和技术方案</w:t>
      </w:r>
    </w:p>
    <w:p>
      <w:pPr>
        <w:pStyle w:val="18"/>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default" w:cs="仿宋" w:asciiTheme="minorEastAsia" w:hAnsiTheme="minorEastAsia" w:eastAsiaTheme="minorEastAsia"/>
          <w:lang w:val="en-US" w:eastAsia="zh-CN"/>
        </w:rPr>
      </w:pPr>
      <w:r>
        <w:rPr>
          <w:rFonts w:hint="eastAsia" w:cs="仿宋" w:asciiTheme="minorEastAsia" w:hAnsiTheme="minorEastAsia"/>
          <w:lang w:val="en-US" w:eastAsia="zh-CN"/>
        </w:rPr>
        <w:t>功能要求：</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cs="仿宋" w:asciiTheme="minorEastAsia" w:hAnsiTheme="minorEastAsia"/>
        </w:rPr>
      </w:pPr>
      <w:r>
        <w:rPr>
          <w:rFonts w:hint="eastAsia"/>
        </w:rPr>
        <w:t>支持传染病报告卡数据按照</w:t>
      </w:r>
      <w:r>
        <w:rPr>
          <w:rFonts w:hint="eastAsia" w:cs="仿宋" w:asciiTheme="minorEastAsia" w:hAnsiTheme="minorEastAsia"/>
        </w:rPr>
        <w:t>《中国疾病预防控制中心公共卫生传染病、慢病及死亡信息交换数据集规范》进行规范化处理，保证交换数据的正确性。</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支持根据四川省疾控中心自动交换平台的数据校验规则，调整院内传染病报告卡填报数据的校验规则，保证数据能正确交换成功。</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支持按时间段查询已审核但是未完成数据交换的传染病报告卡，支持全选或者部分勾选。</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支持数据交换前对待交换上报卡的诊断时间进行检查，确保不发生迟报的情况。</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支持数据交换进度展示，实时刷新每张卡的交换状态。</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支持自动根据数据交换结果，更新卡片的状态，状态包括：待处理、已发送到省平台、国家平台返回成功、失败。</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支持显示失败状态的上报卡的具体失败原因， 方便整改上报卡数据。</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pPr>
      <w:r>
        <w:rPr>
          <w:rFonts w:hint="eastAsia"/>
        </w:rPr>
        <w:t>支持在通内网的情况下，可以直接查看并修改上报卡。</w:t>
      </w:r>
    </w:p>
    <w:p>
      <w:pPr>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cs="仿宋" w:asciiTheme="minorEastAsia" w:hAnsiTheme="minorEastAsia"/>
        </w:rPr>
      </w:pPr>
    </w:p>
    <w:p>
      <w:pPr>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pPr>
      <w:r>
        <w:rPr>
          <w:rFonts w:hint="eastAsia" w:cs="仿宋" w:asciiTheme="minorEastAsia" w:hAnsiTheme="minorEastAsia"/>
          <w:lang w:val="en-US" w:eastAsia="zh-CN"/>
        </w:rPr>
        <w:t>技术方案</w:t>
      </w:r>
      <w:bookmarkStart w:id="4" w:name="_GoBack"/>
      <w:bookmarkEnd w:id="4"/>
      <w:r>
        <w:rPr>
          <w:rFonts w:hint="eastAsia" w:cs="仿宋" w:asciiTheme="minorEastAsia" w:hAnsiTheme="minorEastAsia"/>
        </w:rPr>
        <w:t>：</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hint="eastAsia"/>
        </w:rPr>
      </w:pPr>
      <w:r>
        <w:rPr>
          <w:rFonts w:hint="eastAsia"/>
        </w:rPr>
        <w:t>根据《中国疾病预防控制中心公共卫生传染病、慢病及死亡信息交换数据集规范》中的要求，对院内已使用的传染病报告卡中各个字段进行校对，根据文件要求整改不符合要求的字段字典表。</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hint="eastAsia"/>
        </w:rPr>
      </w:pPr>
      <w:r>
        <w:rPr>
          <w:rFonts w:hint="eastAsia"/>
        </w:rPr>
        <w:t>根据四川省疾控中心的《数据交换平台上行数据WEBService接口开发规范（2020试行版）》文档，开发数据交换的整个功能流程。</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hint="eastAsia"/>
        </w:rPr>
      </w:pPr>
      <w:r>
        <w:rPr>
          <w:rFonts w:hint="eastAsia"/>
        </w:rPr>
        <w:t>协助院感科向四川省疾控中心申请测试账号。</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hint="eastAsia"/>
        </w:rPr>
      </w:pPr>
      <w:r>
        <w:rPr>
          <w:rFonts w:hint="eastAsia"/>
        </w:rPr>
        <w:t>按照四川省疾控中心的要求，使用本院的真实数据进行数据交换测试，解决测试中发生的各种问题，保证测试顺利通过。</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hint="eastAsia"/>
        </w:rPr>
      </w:pPr>
      <w:r>
        <w:rPr>
          <w:rFonts w:hint="eastAsia"/>
        </w:rPr>
        <w:t>协助院感科向四川省疾控中心申请正式账号，并部署正式数据交换环境，对使用人员进行培训，正式启用传染病报告自动交换。</w:t>
      </w:r>
    </w:p>
    <w:p>
      <w:pPr>
        <w:pStyle w:val="18"/>
        <w:pageBreakBefore w:val="0"/>
        <w:widowControl w:val="0"/>
        <w:numPr>
          <w:ilvl w:val="0"/>
          <w:numId w:val="4"/>
        </w:numPr>
        <w:kinsoku/>
        <w:wordWrap/>
        <w:overflowPunct/>
        <w:topLinePunct w:val="0"/>
        <w:autoSpaceDE/>
        <w:autoSpaceDN/>
        <w:bidi w:val="0"/>
        <w:adjustRightInd w:val="0"/>
        <w:snapToGrid w:val="0"/>
        <w:spacing w:line="288" w:lineRule="auto"/>
        <w:ind w:left="425" w:leftChars="0" w:hanging="425" w:firstLineChars="0"/>
        <w:textAlignment w:val="auto"/>
        <w:rPr>
          <w:rFonts w:hint="eastAsia"/>
        </w:rPr>
      </w:pPr>
      <w:r>
        <w:rPr>
          <w:rFonts w:hint="eastAsia"/>
        </w:rPr>
        <w:t>跟踪使用情况，及时提供技术支持。</w:t>
      </w:r>
    </w:p>
    <w:p>
      <w:pPr>
        <w:pStyle w:val="18"/>
        <w:pageBreakBefore w:val="0"/>
        <w:kinsoku/>
        <w:wordWrap/>
        <w:overflowPunct/>
        <w:topLinePunct w:val="0"/>
        <w:autoSpaceDE/>
        <w:autoSpaceDN/>
        <w:bidi w:val="0"/>
        <w:adjustRightInd w:val="0"/>
        <w:snapToGrid w:val="0"/>
        <w:spacing w:before="156" w:beforeLines="50" w:after="156" w:afterLines="50" w:line="240" w:lineRule="auto"/>
        <w:ind w:left="480" w:leftChars="200" w:firstLine="0" w:firstLineChars="0"/>
        <w:contextualSpacing/>
        <w:outlineLvl w:val="0"/>
        <w:rPr>
          <w:rFonts w:ascii="宋体" w:hAnsi="宋体"/>
          <w:bCs/>
          <w:spacing w:val="8"/>
          <w:sz w:val="24"/>
        </w:rPr>
      </w:pPr>
    </w:p>
    <w:p>
      <w:pPr>
        <w:pStyle w:val="18"/>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rFonts w:hint="eastAsia" w:ascii="黑体" w:hAnsi="黑体" w:eastAsia="黑体" w:cs="黑体"/>
          <w:b/>
          <w:color w:val="000000"/>
          <w:sz w:val="32"/>
          <w:szCs w:val="32"/>
        </w:rPr>
      </w:pPr>
      <w:r>
        <w:rPr>
          <w:rFonts w:hint="eastAsia" w:ascii="黑体" w:hAnsi="黑体" w:eastAsia="黑体" w:cs="黑体"/>
          <w:b/>
          <w:color w:val="000000"/>
          <w:sz w:val="32"/>
          <w:szCs w:val="32"/>
          <w:lang w:val="en-US" w:eastAsia="zh-CN"/>
        </w:rPr>
        <w:t>商务要求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 w:val="24"/>
        </w:rPr>
      </w:pPr>
      <w:r>
        <w:rPr>
          <w:rFonts w:hint="eastAsia" w:ascii="宋体" w:hAnsi="宋体" w:cs="宋体"/>
          <w:b/>
          <w:bCs/>
          <w:sz w:val="24"/>
        </w:rPr>
        <w:t>★</w:t>
      </w:r>
      <w:r>
        <w:rPr>
          <w:rFonts w:hint="eastAsia" w:ascii="宋体" w:hAnsi="宋体" w:cs="宋体"/>
          <w:sz w:val="24"/>
        </w:rPr>
        <w:t>1．</w:t>
      </w:r>
      <w:r>
        <w:rPr>
          <w:rFonts w:hint="eastAsia" w:ascii="宋体" w:hAnsi="宋体" w:cs="宋体"/>
          <w:b/>
          <w:bCs/>
          <w:sz w:val="24"/>
        </w:rPr>
        <w:t>交货期及地点</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396"/>
        <w:jc w:val="left"/>
        <w:textAlignment w:val="auto"/>
        <w:rPr>
          <w:rFonts w:hint="eastAsia" w:ascii="宋体" w:hAnsi="宋体" w:cs="宋体"/>
          <w:sz w:val="24"/>
        </w:rPr>
      </w:pPr>
      <w:r>
        <w:rPr>
          <w:rFonts w:hint="eastAsia" w:ascii="宋体" w:hAnsi="宋体" w:cs="宋体"/>
          <w:sz w:val="24"/>
        </w:rPr>
        <w:t xml:space="preserve">1.1 交货期：本项目合同签订后30日内完成建设，并交付采购人验收使用。； </w:t>
      </w:r>
    </w:p>
    <w:p>
      <w:pPr>
        <w:keepNext w:val="0"/>
        <w:keepLines w:val="0"/>
        <w:pageBreakBefore w:val="0"/>
        <w:widowControl w:val="0"/>
        <w:kinsoku/>
        <w:wordWrap/>
        <w:overflowPunct/>
        <w:topLinePunct w:val="0"/>
        <w:autoSpaceDE/>
        <w:autoSpaceDN/>
        <w:bidi w:val="0"/>
        <w:adjustRightInd w:val="0"/>
        <w:snapToGrid w:val="0"/>
        <w:spacing w:line="288" w:lineRule="auto"/>
        <w:ind w:left="396"/>
        <w:jc w:val="left"/>
        <w:textAlignment w:val="auto"/>
        <w:rPr>
          <w:rFonts w:hint="eastAsia" w:ascii="宋体" w:hAnsi="宋体" w:cs="宋体"/>
          <w:sz w:val="24"/>
        </w:rPr>
      </w:pPr>
      <w:r>
        <w:rPr>
          <w:rFonts w:hint="eastAsia" w:ascii="宋体" w:hAnsi="宋体" w:cs="宋体"/>
          <w:sz w:val="24"/>
        </w:rPr>
        <w:t xml:space="preserve">1.2 交货地点: 四川省妇幼保健院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eastAsia="宋体"/>
          <w:lang w:val="en-US" w:eastAsia="zh-CN"/>
        </w:rPr>
      </w:pPr>
      <w:r>
        <w:rPr>
          <w:rFonts w:hint="eastAsia" w:ascii="宋体" w:hAnsi="宋体" w:cs="宋体"/>
          <w:b/>
          <w:bCs/>
          <w:sz w:val="24"/>
        </w:rPr>
        <w:t>★</w:t>
      </w:r>
      <w:r>
        <w:rPr>
          <w:rFonts w:hint="eastAsia" w:ascii="宋体" w:hAnsi="宋体" w:cs="宋体"/>
          <w:b/>
          <w:bCs/>
          <w:sz w:val="24"/>
          <w:lang w:val="en-US" w:eastAsia="zh-CN"/>
        </w:rPr>
        <w:t>2</w:t>
      </w:r>
      <w:r>
        <w:rPr>
          <w:rFonts w:hint="eastAsia" w:ascii="宋体" w:hAnsi="宋体" w:cs="宋体"/>
          <w:sz w:val="24"/>
        </w:rPr>
        <w:t>．</w:t>
      </w:r>
      <w:r>
        <w:rPr>
          <w:rFonts w:hint="eastAsia" w:ascii="宋体" w:hAnsi="宋体" w:cs="宋体"/>
          <w:b/>
          <w:bCs/>
          <w:sz w:val="24"/>
        </w:rPr>
        <w:t>付款方法和条件</w:t>
      </w:r>
      <w:r>
        <w:rPr>
          <w:rFonts w:hint="eastAsia" w:ascii="宋体" w:hAnsi="宋体" w:cs="宋体"/>
          <w:sz w:val="24"/>
        </w:rPr>
        <w:t>：验收合格后</w:t>
      </w:r>
      <w:r>
        <w:rPr>
          <w:rFonts w:hint="eastAsia" w:ascii="宋体" w:hAnsi="宋体" w:cs="宋体"/>
          <w:sz w:val="24"/>
          <w:lang w:val="en-US" w:eastAsia="zh-CN"/>
        </w:rPr>
        <w:t>3</w:t>
      </w:r>
      <w:r>
        <w:rPr>
          <w:rFonts w:hint="eastAsia" w:ascii="宋体" w:hAnsi="宋体" w:cs="宋体"/>
          <w:sz w:val="24"/>
        </w:rPr>
        <w:t>0天内支付全部货款的</w:t>
      </w:r>
      <w:r>
        <w:rPr>
          <w:rFonts w:hint="eastAsia" w:ascii="宋体" w:hAnsi="宋体" w:cs="宋体"/>
          <w:sz w:val="24"/>
          <w:lang w:val="en-US" w:eastAsia="zh-CN"/>
        </w:rPr>
        <w:t>10</w:t>
      </w:r>
      <w:r>
        <w:rPr>
          <w:rFonts w:hint="eastAsia" w:ascii="宋体" w:hAnsi="宋体" w:cs="宋体"/>
          <w:sz w:val="24"/>
        </w:rPr>
        <w:t>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24"/>
        </w:rPr>
      </w:pPr>
      <w:r>
        <w:rPr>
          <w:rFonts w:hint="eastAsia" w:ascii="宋体" w:hAnsi="宋体" w:cs="宋体"/>
          <w:b/>
          <w:bCs/>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b/>
          <w:bCs/>
          <w:sz w:val="24"/>
        </w:rPr>
        <w:t>质保期</w:t>
      </w:r>
      <w:r>
        <w:rPr>
          <w:rFonts w:hint="eastAsia" w:ascii="宋体" w:hAnsi="宋体" w:cs="宋体"/>
          <w:sz w:val="24"/>
        </w:rPr>
        <w:t>：</w:t>
      </w:r>
      <w:r>
        <w:rPr>
          <w:rFonts w:hint="eastAsia" w:ascii="宋体" w:hAnsi="宋体" w:cs="宋体"/>
          <w:sz w:val="24"/>
          <w:lang w:val="en-US" w:eastAsia="zh-CN"/>
        </w:rPr>
        <w:t xml:space="preserve"> 1年，验收合格日起计算</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
          <w:bCs/>
          <w:sz w:val="24"/>
          <w:lang w:val="en-US" w:eastAsia="zh-CN"/>
        </w:rPr>
        <w:t>售后服务</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0"/>
        <w:jc w:val="left"/>
        <w:textAlignment w:val="auto"/>
        <w:rPr>
          <w:rFonts w:cs="仿宋" w:asciiTheme="minorEastAsia" w:hAnsiTheme="minorEastAsia"/>
        </w:rPr>
      </w:pPr>
      <w:r>
        <w:rPr>
          <w:rFonts w:hint="eastAsia" w:ascii="宋体" w:hAnsi="宋体" w:cs="宋体"/>
          <w:sz w:val="24"/>
          <w:lang w:val="en-US" w:eastAsia="zh-CN"/>
        </w:rPr>
        <w:t xml:space="preserve">4.1 </w:t>
      </w:r>
      <w:r>
        <w:rPr>
          <w:rFonts w:hint="eastAsia" w:cs="仿宋" w:asciiTheme="minorEastAsia" w:hAnsiTheme="minorEastAsia"/>
        </w:rPr>
        <w:t>提供7*24小时电话或网络服务，提供技术援助，解答用户在项目使用中遇到的问题，及时提出解决问题的建议和操作方法；</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textAlignment w:val="auto"/>
        <w:rPr>
          <w:rFonts w:cs="仿宋" w:asciiTheme="minorEastAsia" w:hAnsiTheme="minorEastAsia"/>
        </w:rPr>
      </w:pPr>
      <w:r>
        <w:rPr>
          <w:rFonts w:hint="eastAsia" w:ascii="宋体" w:hAnsi="宋体" w:cs="宋体"/>
          <w:sz w:val="24"/>
          <w:lang w:val="en-US" w:eastAsia="zh-CN"/>
        </w:rPr>
        <w:t xml:space="preserve">4.2 </w:t>
      </w:r>
      <w:r>
        <w:rPr>
          <w:rFonts w:hint="eastAsia" w:cs="仿宋" w:asciiTheme="minorEastAsia" w:hAnsiTheme="minorEastAsia"/>
        </w:rPr>
        <w:t>在本项目的维护、运行管理、故障诊断及解决、项目开放方面继续给予用户技术协作和咨询指导；</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textAlignment w:val="auto"/>
        <w:rPr>
          <w:rFonts w:cs="仿宋" w:asciiTheme="minorEastAsia" w:hAnsiTheme="minorEastAsia"/>
        </w:rPr>
      </w:pPr>
      <w:r>
        <w:rPr>
          <w:rFonts w:hint="eastAsia" w:cs="仿宋" w:asciiTheme="minorEastAsia" w:hAnsiTheme="minorEastAsia"/>
          <w:lang w:val="en-US" w:eastAsia="zh-CN"/>
        </w:rPr>
        <w:t xml:space="preserve">4.3 </w:t>
      </w:r>
      <w:r>
        <w:rPr>
          <w:rFonts w:hint="eastAsia" w:cs="仿宋" w:asciiTheme="minorEastAsia" w:hAnsiTheme="minorEastAsia"/>
        </w:rPr>
        <w:t>升级维护：在</w:t>
      </w:r>
      <w:r>
        <w:rPr>
          <w:rFonts w:hint="eastAsia" w:cs="仿宋" w:asciiTheme="minorEastAsia" w:hAnsiTheme="minorEastAsia"/>
          <w:lang w:val="en-US" w:eastAsia="zh-CN"/>
        </w:rPr>
        <w:t>质保期内</w:t>
      </w:r>
      <w:r>
        <w:rPr>
          <w:rFonts w:hint="eastAsia" w:cs="仿宋" w:asciiTheme="minorEastAsia" w:hAnsiTheme="minorEastAsia"/>
        </w:rPr>
        <w:t>内所采购系统升级应及时通知用户，并根据采购定制情况给予升级建议，如院方提出升级要求，主动配合完成升级；</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textAlignment w:val="auto"/>
        <w:rPr>
          <w:rFonts w:cs="仿宋" w:asciiTheme="minorEastAsia" w:hAnsiTheme="minorEastAsia"/>
        </w:rPr>
      </w:pPr>
      <w:r>
        <w:rPr>
          <w:rFonts w:hint="eastAsia" w:cs="仿宋" w:asciiTheme="minorEastAsia" w:hAnsiTheme="minorEastAsia"/>
          <w:lang w:val="en-US" w:eastAsia="zh-CN"/>
        </w:rPr>
        <w:t xml:space="preserve">4.4 </w:t>
      </w:r>
      <w:r>
        <w:rPr>
          <w:rFonts w:hint="eastAsia" w:cs="仿宋" w:asciiTheme="minorEastAsia" w:hAnsiTheme="minorEastAsia"/>
        </w:rPr>
        <w:t>提供7×24小时热线服务，维护工程师都会在每天24小时全天响应。若发生故障在2小时内作出明确的响应安排，</w:t>
      </w:r>
      <w:r>
        <w:rPr>
          <w:rFonts w:hint="eastAsia" w:cs="仿宋" w:asciiTheme="minorEastAsia" w:hAnsiTheme="minorEastAsia"/>
          <w:lang w:val="en-US" w:eastAsia="zh-CN"/>
        </w:rPr>
        <w:t>4</w:t>
      </w:r>
      <w:r>
        <w:rPr>
          <w:rFonts w:hint="eastAsia" w:cs="仿宋" w:asciiTheme="minorEastAsia" w:hAnsiTheme="minorEastAsia"/>
        </w:rPr>
        <w:t>小时内做出诊断报告，如需现场服务的，技术工程师在1天内到达现场，并在1天内解决问题；</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textAlignment w:val="auto"/>
        <w:rPr>
          <w:rFonts w:hint="eastAsia" w:cs="仿宋" w:asciiTheme="minorEastAsia" w:hAnsiTheme="minorEastAsia"/>
        </w:rPr>
      </w:pPr>
      <w:r>
        <w:rPr>
          <w:rFonts w:hint="eastAsia" w:cs="仿宋" w:asciiTheme="minorEastAsia" w:hAnsiTheme="minorEastAsia"/>
          <w:lang w:val="en-US" w:eastAsia="zh-CN"/>
        </w:rPr>
        <w:t>4.5 质保期后</w:t>
      </w:r>
      <w:r>
        <w:rPr>
          <w:rFonts w:hint="eastAsia" w:cs="仿宋" w:asciiTheme="minorEastAsia" w:hAnsiTheme="minorEastAsia"/>
        </w:rPr>
        <w:t>，后续双方商定每年维护费用签订维护合同。</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b/>
          <w:bCs/>
          <w:sz w:val="24"/>
        </w:rPr>
      </w:pPr>
      <w:r>
        <w:rPr>
          <w:rFonts w:hint="eastAsia" w:ascii="宋体" w:hAnsi="宋体" w:cs="宋体"/>
          <w:b/>
          <w:bCs/>
          <w:sz w:val="24"/>
        </w:rPr>
        <w:t>★</w:t>
      </w:r>
      <w:r>
        <w:rPr>
          <w:rFonts w:hint="eastAsia" w:ascii="宋体" w:hAnsi="宋体" w:cs="宋体"/>
          <w:b w:val="0"/>
          <w:bCs w:val="0"/>
          <w:sz w:val="24"/>
          <w:lang w:val="en-US" w:eastAsia="zh-CN"/>
        </w:rPr>
        <w:t xml:space="preserve">5. </w:t>
      </w:r>
      <w:r>
        <w:rPr>
          <w:rFonts w:hint="eastAsia" w:ascii="宋体" w:hAnsi="宋体" w:cs="宋体"/>
          <w:b/>
          <w:bCs/>
          <w:sz w:val="24"/>
        </w:rPr>
        <w:t>履约验收办法及标准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0"/>
        <w:jc w:val="left"/>
        <w:textAlignment w:val="auto"/>
        <w:rPr>
          <w:rFonts w:hint="eastAsia" w:ascii="宋体" w:hAnsi="宋体" w:cs="宋体"/>
          <w:b w:val="0"/>
          <w:bCs w:val="0"/>
          <w:sz w:val="24"/>
        </w:rPr>
      </w:pPr>
      <w:r>
        <w:rPr>
          <w:rFonts w:hint="eastAsia" w:ascii="宋体" w:hAnsi="宋体" w:cs="宋体"/>
          <w:b w:val="0"/>
          <w:bCs w:val="0"/>
          <w:sz w:val="24"/>
          <w:lang w:val="en-US" w:eastAsia="zh-CN"/>
        </w:rPr>
        <w:t>5.1</w:t>
      </w:r>
      <w:r>
        <w:rPr>
          <w:rFonts w:hint="eastAsia" w:ascii="宋体" w:hAnsi="宋体" w:cs="宋体"/>
          <w:b w:val="0"/>
          <w:bCs w:val="0"/>
          <w:sz w:val="24"/>
        </w:rPr>
        <w:t>验收办法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0"/>
        <w:jc w:val="left"/>
        <w:textAlignment w:val="auto"/>
        <w:rPr>
          <w:rFonts w:hint="eastAsia" w:ascii="宋体" w:hAnsi="宋体" w:cs="宋体"/>
          <w:b w:val="0"/>
          <w:bCs w:val="0"/>
          <w:sz w:val="24"/>
        </w:rPr>
      </w:pPr>
      <w:r>
        <w:rPr>
          <w:rFonts w:hint="eastAsia" w:ascii="宋体" w:hAnsi="宋体" w:cs="宋体"/>
          <w:b w:val="0"/>
          <w:bCs w:val="0"/>
          <w:sz w:val="24"/>
        </w:rPr>
        <w:t xml:space="preserve">成交人与采购人应严格按照《财政部关于进一步加强政府采购需求和履约验收管理的指导意见》（财库〔2016〕205号）、《四川省政府采购项目需求论证和履约验收管理办法》（川财采〔2015〕32号）进行验收；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0"/>
        <w:jc w:val="left"/>
        <w:textAlignment w:val="auto"/>
        <w:rPr>
          <w:rFonts w:hint="eastAsia" w:ascii="宋体" w:hAnsi="宋体" w:cs="宋体"/>
          <w:b w:val="0"/>
          <w:bCs w:val="0"/>
          <w:sz w:val="24"/>
        </w:rPr>
      </w:pPr>
      <w:r>
        <w:rPr>
          <w:rFonts w:hint="eastAsia" w:ascii="宋体" w:hAnsi="宋体" w:cs="宋体"/>
          <w:b w:val="0"/>
          <w:bCs w:val="0"/>
          <w:sz w:val="24"/>
          <w:lang w:val="en-US" w:eastAsia="zh-CN"/>
        </w:rPr>
        <w:t>5.2</w:t>
      </w:r>
      <w:r>
        <w:rPr>
          <w:rFonts w:hint="eastAsia" w:ascii="宋体" w:hAnsi="宋体" w:cs="宋体"/>
          <w:b w:val="0"/>
          <w:bCs w:val="0"/>
          <w:sz w:val="24"/>
        </w:rPr>
        <w:t>验收标准：按国家有关规定、成交供应商的响应文件及承诺以及合同约定标准进行验收。</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b w:val="0"/>
          <w:bCs w:val="0"/>
          <w:sz w:val="24"/>
        </w:rPr>
      </w:pPr>
      <w:r>
        <w:rPr>
          <w:rFonts w:hint="eastAsia" w:ascii="宋体" w:hAnsi="宋体" w:cs="宋体"/>
          <w:b w:val="0"/>
          <w:bCs w:val="0"/>
          <w:sz w:val="24"/>
        </w:rPr>
        <w:t>6.</w:t>
      </w:r>
      <w:r>
        <w:rPr>
          <w:rFonts w:hint="eastAsia" w:ascii="宋体" w:hAnsi="宋体" w:cs="宋体"/>
          <w:b/>
          <w:bCs/>
          <w:sz w:val="24"/>
        </w:rPr>
        <w:t>培训要求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0"/>
        <w:jc w:val="left"/>
        <w:textAlignment w:val="auto"/>
        <w:rPr>
          <w:rFonts w:hint="eastAsia" w:ascii="宋体" w:hAnsi="宋体" w:cs="宋体"/>
          <w:b w:val="0"/>
          <w:bCs w:val="0"/>
          <w:sz w:val="24"/>
        </w:rPr>
      </w:pPr>
      <w:r>
        <w:rPr>
          <w:rFonts w:hint="eastAsia" w:ascii="宋体" w:hAnsi="宋体" w:cs="宋体"/>
          <w:b w:val="0"/>
          <w:bCs w:val="0"/>
          <w:sz w:val="24"/>
        </w:rPr>
        <w:t>6.1供应商需免费提供对采购人相关人员（领导、管理者、各级最终用户和系统管理员等）的培训，需在投标文件中提供详细的培训方案，需包括培训目标、培训对象以及培训方法等。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0"/>
        <w:jc w:val="left"/>
        <w:textAlignment w:val="auto"/>
        <w:rPr>
          <w:rFonts w:hint="eastAsia" w:ascii="宋体" w:hAnsi="宋体" w:cs="宋体"/>
          <w:b w:val="0"/>
          <w:bCs w:val="0"/>
          <w:sz w:val="24"/>
        </w:rPr>
      </w:pPr>
      <w:r>
        <w:rPr>
          <w:rFonts w:hint="eastAsia" w:ascii="宋体" w:hAnsi="宋体" w:cs="宋体"/>
          <w:b w:val="0"/>
          <w:bCs w:val="0"/>
          <w:sz w:val="24"/>
        </w:rPr>
        <w:t>6.2技术培训的内容需覆盖系统的日常操作和管理维护。</w:t>
      </w:r>
    </w:p>
    <w:p>
      <w:pPr>
        <w:pStyle w:val="18"/>
        <w:pageBreakBefore w:val="0"/>
        <w:numPr>
          <w:ilvl w:val="0"/>
          <w:numId w:val="0"/>
        </w:numPr>
        <w:kinsoku/>
        <w:wordWrap/>
        <w:overflowPunct/>
        <w:topLinePunct w:val="0"/>
        <w:autoSpaceDE/>
        <w:autoSpaceDN/>
        <w:bidi w:val="0"/>
        <w:adjustRightInd w:val="0"/>
        <w:snapToGrid w:val="0"/>
        <w:spacing w:before="312" w:beforeLines="100" w:line="240" w:lineRule="auto"/>
        <w:ind w:leftChars="0"/>
        <w:contextualSpacing/>
        <w:outlineLvl w:val="0"/>
        <w:rPr>
          <w:rFonts w:hint="eastAsia" w:ascii="黑体" w:hAnsi="黑体" w:eastAsia="黑体" w:cs="黑体"/>
          <w:b/>
          <w:color w:val="000000"/>
          <w:sz w:val="32"/>
          <w:szCs w:val="32"/>
        </w:rPr>
      </w:pPr>
    </w:p>
    <w:p>
      <w:pPr>
        <w:pStyle w:val="18"/>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rFonts w:hint="eastAsia" w:ascii="黑体" w:hAnsi="黑体" w:eastAsia="黑体" w:cs="黑体"/>
          <w:b/>
          <w:color w:val="000000"/>
          <w:sz w:val="32"/>
          <w:szCs w:val="32"/>
        </w:rPr>
      </w:pPr>
      <w:r>
        <w:rPr>
          <w:rFonts w:hint="eastAsia" w:ascii="黑体" w:hAnsi="黑体" w:eastAsia="黑体" w:cs="黑体"/>
          <w:b/>
          <w:color w:val="000000"/>
          <w:sz w:val="32"/>
          <w:szCs w:val="32"/>
        </w:rPr>
        <w:t>评审办法（综合评分明细表）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241"/>
        <w:gridCol w:w="563"/>
        <w:gridCol w:w="487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bookmarkStart w:id="0" w:name="_Hlk103012460"/>
            <w:r>
              <w:rPr>
                <w:rFonts w:hint="eastAsia" w:ascii="仿宋" w:hAnsi="仿宋" w:eastAsia="仿宋" w:cs="宋体"/>
                <w:kern w:val="0"/>
                <w:sz w:val="24"/>
              </w:rPr>
              <w:t>序号</w:t>
            </w:r>
          </w:p>
        </w:tc>
        <w:tc>
          <w:tcPr>
            <w:tcW w:w="1241" w:type="dxa"/>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r>
              <w:rPr>
                <w:rFonts w:hint="eastAsia" w:ascii="仿宋" w:hAnsi="仿宋" w:eastAsia="仿宋" w:cs="宋体"/>
                <w:kern w:val="0"/>
                <w:sz w:val="24"/>
              </w:rPr>
              <w:t>评分因素</w:t>
            </w:r>
          </w:p>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r>
              <w:rPr>
                <w:rFonts w:hint="eastAsia" w:ascii="仿宋" w:hAnsi="仿宋" w:eastAsia="仿宋" w:cs="宋体"/>
                <w:kern w:val="0"/>
                <w:sz w:val="24"/>
              </w:rPr>
              <w:t>及权重</w:t>
            </w:r>
          </w:p>
        </w:tc>
        <w:tc>
          <w:tcPr>
            <w:tcW w:w="563" w:type="dxa"/>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r>
              <w:rPr>
                <w:rFonts w:hint="eastAsia" w:ascii="仿宋" w:hAnsi="仿宋" w:eastAsia="仿宋" w:cs="宋体"/>
                <w:kern w:val="0"/>
                <w:sz w:val="24"/>
              </w:rPr>
              <w:t>分值</w:t>
            </w:r>
          </w:p>
        </w:tc>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r>
              <w:rPr>
                <w:rFonts w:hint="eastAsia" w:ascii="仿宋" w:hAnsi="仿宋" w:eastAsia="仿宋" w:cs="宋体"/>
                <w:kern w:val="0"/>
                <w:sz w:val="24"/>
              </w:rPr>
              <w:t>评分标准</w:t>
            </w:r>
          </w:p>
        </w:tc>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ascii="仿宋" w:hAnsi="仿宋" w:eastAsia="仿宋" w:cs="宋体"/>
                <w:kern w:val="0"/>
                <w:sz w:val="24"/>
              </w:rPr>
            </w:pPr>
            <w:r>
              <w:rPr>
                <w:rFonts w:hint="eastAsia" w:ascii="仿宋" w:hAnsi="仿宋" w:eastAsia="仿宋"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r>
              <w:rPr>
                <w:rFonts w:hint="eastAsia" w:ascii="仿宋" w:hAnsi="仿宋" w:eastAsia="仿宋" w:cs="宋体"/>
                <w:kern w:val="0"/>
                <w:sz w:val="24"/>
              </w:rPr>
              <w:t>1</w:t>
            </w:r>
          </w:p>
        </w:tc>
        <w:tc>
          <w:tcPr>
            <w:tcW w:w="1241" w:type="dxa"/>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报价</w:t>
            </w:r>
          </w:p>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（主要评分因素）</w:t>
            </w:r>
          </w:p>
        </w:tc>
        <w:tc>
          <w:tcPr>
            <w:tcW w:w="563" w:type="dxa"/>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0</w:t>
            </w:r>
            <w:r>
              <w:rPr>
                <w:rFonts w:hint="eastAsia" w:ascii="仿宋" w:hAnsi="仿宋" w:eastAsia="仿宋" w:cs="宋体"/>
                <w:kern w:val="0"/>
                <w:sz w:val="24"/>
              </w:rPr>
              <w:t>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满足磋商文件要求且响应价格最低的响应报价为磋商基准价，其价格分为满分。其他供应商的价格分统一按照下列公式计算：磋商报价得分=(磋商基准价／最后磋商报价)* 10%*100。</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ascii="仿宋" w:hAnsi="仿宋" w:eastAsia="仿宋" w:cs="宋体"/>
                <w:kern w:val="0"/>
                <w:sz w:val="24"/>
              </w:rPr>
            </w:pPr>
            <w:r>
              <w:rPr>
                <w:rFonts w:hint="eastAsia" w:ascii="仿宋" w:hAnsi="仿宋" w:eastAsia="仿宋" w:cs="宋体"/>
                <w:kern w:val="0"/>
                <w:sz w:val="24"/>
              </w:rPr>
              <w:t>2</w:t>
            </w:r>
          </w:p>
        </w:tc>
        <w:tc>
          <w:tcPr>
            <w:tcW w:w="1241" w:type="dxa"/>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技术服务要求（主要评分因素）</w:t>
            </w:r>
          </w:p>
        </w:tc>
        <w:tc>
          <w:tcPr>
            <w:tcW w:w="563" w:type="dxa"/>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lang w:val="en-US" w:eastAsia="zh-CN"/>
              </w:rPr>
              <w:t>42</w:t>
            </w:r>
            <w:r>
              <w:rPr>
                <w:rFonts w:hint="eastAsia" w:ascii="仿宋" w:hAnsi="仿宋" w:eastAsia="仿宋" w:cs="宋体"/>
                <w:kern w:val="0"/>
                <w:sz w:val="24"/>
              </w:rPr>
              <w:t>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完全符合技术参数要求没有负偏离得3</w:t>
            </w:r>
            <w:r>
              <w:rPr>
                <w:rFonts w:ascii="仿宋" w:hAnsi="仿宋" w:eastAsia="仿宋" w:cs="宋体"/>
                <w:kern w:val="0"/>
                <w:sz w:val="24"/>
              </w:rPr>
              <w:t>5</w:t>
            </w:r>
            <w:r>
              <w:rPr>
                <w:rFonts w:hint="eastAsia" w:ascii="仿宋" w:hAnsi="仿宋" w:eastAsia="仿宋" w:cs="宋体"/>
                <w:kern w:val="0"/>
                <w:sz w:val="24"/>
              </w:rPr>
              <w:t>分；</w:t>
            </w:r>
            <w:r>
              <w:rPr>
                <w:rFonts w:hint="eastAsia" w:ascii="仿宋" w:hAnsi="仿宋" w:eastAsia="仿宋" w:cs="宋体"/>
                <w:b/>
                <w:bCs/>
                <w:kern w:val="0"/>
                <w:sz w:val="24"/>
              </w:rPr>
              <w:t>且带“</w:t>
            </w:r>
            <w:r>
              <w:rPr>
                <w:rStyle w:val="13"/>
                <w:rFonts w:hint="eastAsia" w:ascii="仿宋" w:hAnsi="仿宋" w:eastAsia="仿宋" w:cs="仿宋"/>
                <w:b w:val="0"/>
                <w:bCs w:val="0"/>
                <w:color w:val="000000"/>
                <w:sz w:val="24"/>
              </w:rPr>
              <w:t>★</w:t>
            </w:r>
            <w:r>
              <w:rPr>
                <w:rFonts w:hint="eastAsia" w:ascii="仿宋" w:hAnsi="仿宋" w:eastAsia="仿宋" w:cs="宋体"/>
                <w:b/>
                <w:bCs/>
                <w:kern w:val="0"/>
                <w:sz w:val="24"/>
              </w:rPr>
              <w:t>”号条款</w:t>
            </w:r>
            <w:r>
              <w:rPr>
                <w:rFonts w:hint="eastAsia" w:ascii="仿宋" w:hAnsi="仿宋" w:eastAsia="仿宋" w:cs="宋体"/>
                <w:b/>
                <w:bCs/>
                <w:kern w:val="0"/>
                <w:sz w:val="24"/>
                <w:lang w:val="en-US" w:eastAsia="zh-CN"/>
              </w:rPr>
              <w:t>为实质性条款</w:t>
            </w:r>
            <w:r>
              <w:rPr>
                <w:rFonts w:hint="eastAsia" w:ascii="仿宋" w:hAnsi="仿宋" w:eastAsia="仿宋" w:cs="宋体"/>
                <w:b/>
                <w:bCs/>
                <w:kern w:val="0"/>
                <w:sz w:val="24"/>
              </w:rPr>
              <w:t>，不响应</w:t>
            </w:r>
            <w:r>
              <w:rPr>
                <w:rFonts w:hint="eastAsia" w:ascii="仿宋" w:hAnsi="仿宋" w:eastAsia="仿宋" w:cs="宋体"/>
                <w:b/>
                <w:bCs/>
                <w:kern w:val="0"/>
                <w:sz w:val="24"/>
                <w:lang w:val="en-US" w:eastAsia="zh-CN"/>
              </w:rPr>
              <w:t>或负偏离则投标文件无效</w:t>
            </w:r>
            <w:r>
              <w:rPr>
                <w:rFonts w:hint="eastAsia" w:ascii="仿宋" w:hAnsi="仿宋" w:eastAsia="仿宋" w:cs="宋体"/>
                <w:kern w:val="0"/>
                <w:sz w:val="24"/>
              </w:rPr>
              <w:t>；非“</w:t>
            </w:r>
            <w:r>
              <w:rPr>
                <w:rStyle w:val="13"/>
                <w:rFonts w:hint="eastAsia" w:ascii="仿宋" w:hAnsi="仿宋" w:eastAsia="仿宋" w:cs="仿宋"/>
                <w:color w:val="000000"/>
                <w:sz w:val="24"/>
              </w:rPr>
              <w:t>★</w:t>
            </w:r>
            <w:r>
              <w:rPr>
                <w:rFonts w:hint="eastAsia" w:ascii="仿宋" w:hAnsi="仿宋" w:eastAsia="仿宋" w:cs="宋体"/>
                <w:kern w:val="0"/>
                <w:sz w:val="24"/>
              </w:rPr>
              <w:t>”号条款</w:t>
            </w:r>
            <w:r>
              <w:rPr>
                <w:rFonts w:ascii="仿宋" w:hAnsi="仿宋" w:eastAsia="仿宋" w:cs="宋体"/>
                <w:kern w:val="0"/>
                <w:sz w:val="24"/>
              </w:rPr>
              <w:t>14</w:t>
            </w:r>
            <w:r>
              <w:rPr>
                <w:rFonts w:hint="eastAsia" w:ascii="仿宋" w:hAnsi="仿宋" w:eastAsia="仿宋" w:cs="宋体"/>
                <w:kern w:val="0"/>
                <w:sz w:val="24"/>
              </w:rPr>
              <w:t>条，每条负偏离扣</w:t>
            </w:r>
            <w:r>
              <w:rPr>
                <w:rFonts w:ascii="仿宋" w:hAnsi="仿宋" w:eastAsia="仿宋" w:cs="宋体"/>
                <w:kern w:val="0"/>
                <w:sz w:val="24"/>
              </w:rPr>
              <w:t>3</w:t>
            </w:r>
            <w:r>
              <w:rPr>
                <w:rFonts w:hint="eastAsia" w:ascii="仿宋" w:hAnsi="仿宋" w:eastAsia="仿宋" w:cs="宋体"/>
                <w:kern w:val="0"/>
                <w:sz w:val="24"/>
              </w:rPr>
              <w:t>分，扣完为止。</w:t>
            </w:r>
          </w:p>
        </w:tc>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ascii="仿宋" w:hAnsi="仿宋" w:eastAsia="仿宋" w:cs="宋体"/>
                <w:kern w:val="0"/>
                <w:sz w:val="24"/>
              </w:rPr>
            </w:pPr>
            <w:r>
              <w:rPr>
                <w:rFonts w:hint="eastAsia" w:ascii="仿宋" w:hAnsi="仿宋" w:eastAsia="仿宋" w:cs="宋体"/>
                <w:kern w:val="0"/>
                <w:sz w:val="24"/>
              </w:rPr>
              <w:t>按要求提供证明材料，如未按要求提供，则视为负偏离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仿宋" w:hAnsi="仿宋" w:eastAsia="仿宋" w:cs="宋体"/>
                <w:kern w:val="0"/>
                <w:sz w:val="24"/>
              </w:rPr>
            </w:pPr>
            <w:r>
              <w:rPr>
                <w:rFonts w:hint="eastAsia" w:ascii="仿宋" w:hAnsi="仿宋" w:eastAsia="仿宋" w:cs="宋体"/>
                <w:kern w:val="0"/>
                <w:sz w:val="24"/>
              </w:rPr>
              <w:t>3</w:t>
            </w:r>
          </w:p>
        </w:tc>
        <w:tc>
          <w:tcPr>
            <w:tcW w:w="1241"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仿宋" w:hAnsi="仿宋" w:eastAsia="仿宋" w:cs="宋体"/>
                <w:kern w:val="0"/>
                <w:sz w:val="24"/>
              </w:rPr>
            </w:pPr>
            <w:r>
              <w:rPr>
                <w:rFonts w:hint="eastAsia" w:ascii="仿宋" w:hAnsi="仿宋" w:eastAsia="仿宋" w:cs="宋体"/>
                <w:kern w:val="0"/>
                <w:sz w:val="24"/>
              </w:rPr>
              <w:t>业绩</w:t>
            </w:r>
          </w:p>
        </w:tc>
        <w:tc>
          <w:tcPr>
            <w:tcW w:w="563" w:type="dxa"/>
            <w:noWrap w:val="0"/>
            <w:vAlign w:val="center"/>
          </w:tcPr>
          <w:p>
            <w:pPr>
              <w:pageBreakBefore w:val="0"/>
              <w:kinsoku/>
              <w:wordWrap/>
              <w:overflowPunct/>
              <w:topLinePunct w:val="0"/>
              <w:autoSpaceDE/>
              <w:autoSpaceDN/>
              <w:bidi w:val="0"/>
              <w:adjustRightInd w:val="0"/>
              <w:snapToGrid w:val="0"/>
              <w:spacing w:line="240" w:lineRule="auto"/>
              <w:jc w:val="center"/>
              <w:rPr>
                <w:rFonts w:ascii="仿宋" w:hAnsi="仿宋" w:eastAsia="仿宋" w:cs="宋体"/>
                <w:kern w:val="0"/>
                <w:sz w:val="24"/>
              </w:rPr>
            </w:pPr>
            <w:r>
              <w:rPr>
                <w:rFonts w:hint="eastAsia" w:ascii="仿宋" w:hAnsi="仿宋" w:eastAsia="仿宋" w:cs="宋体"/>
                <w:kern w:val="0"/>
                <w:sz w:val="24"/>
                <w:lang w:val="en-US" w:eastAsia="zh-CN"/>
              </w:rPr>
              <w:t>8</w:t>
            </w:r>
            <w:r>
              <w:rPr>
                <w:rFonts w:hint="eastAsia" w:ascii="仿宋" w:hAnsi="仿宋" w:eastAsia="仿宋" w:cs="宋体"/>
                <w:kern w:val="0"/>
                <w:sz w:val="24"/>
              </w:rPr>
              <w:t>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eastAsia="仿宋"/>
              </w:rPr>
            </w:pPr>
            <w:r>
              <w:rPr>
                <w:rFonts w:hint="eastAsia" w:ascii="仿宋" w:hAnsi="仿宋" w:eastAsia="仿宋" w:cs="宋体"/>
                <w:kern w:val="0"/>
                <w:sz w:val="24"/>
              </w:rPr>
              <w:t>具有同类产品三甲医院业绩，每提供一份合同复印件得</w:t>
            </w:r>
            <w:r>
              <w:rPr>
                <w:rFonts w:hint="eastAsia" w:ascii="仿宋" w:hAnsi="仿宋" w:eastAsia="仿宋" w:cs="宋体"/>
                <w:kern w:val="0"/>
                <w:sz w:val="24"/>
                <w:lang w:val="en-US" w:eastAsia="zh-CN"/>
              </w:rPr>
              <w:t>2</w:t>
            </w:r>
            <w:r>
              <w:rPr>
                <w:rFonts w:hint="eastAsia" w:ascii="仿宋" w:hAnsi="仿宋" w:eastAsia="仿宋" w:cs="宋体"/>
                <w:kern w:val="0"/>
                <w:sz w:val="24"/>
              </w:rPr>
              <w:t>分，最高</w:t>
            </w:r>
            <w:r>
              <w:rPr>
                <w:rFonts w:hint="eastAsia" w:ascii="仿宋" w:hAnsi="仿宋" w:eastAsia="仿宋" w:cs="宋体"/>
                <w:kern w:val="0"/>
                <w:sz w:val="24"/>
                <w:lang w:val="en-US" w:eastAsia="zh-CN"/>
              </w:rPr>
              <w:t>8</w:t>
            </w:r>
            <w:r>
              <w:rPr>
                <w:rFonts w:hint="eastAsia" w:ascii="仿宋" w:hAnsi="仿宋" w:eastAsia="仿宋" w:cs="宋体"/>
                <w:kern w:val="0"/>
                <w:sz w:val="24"/>
              </w:rPr>
              <w:t>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ascii="仿宋" w:hAnsi="仿宋" w:eastAsia="仿宋" w:cs="宋体"/>
                <w:kern w:val="0"/>
                <w:sz w:val="24"/>
              </w:rPr>
            </w:pP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4</w:t>
            </w:r>
          </w:p>
        </w:tc>
        <w:tc>
          <w:tcPr>
            <w:tcW w:w="1241"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仿宋" w:hAnsi="仿宋" w:eastAsia="仿宋" w:cs="宋体"/>
                <w:kern w:val="0"/>
                <w:sz w:val="24"/>
              </w:rPr>
            </w:pPr>
            <w:r>
              <w:rPr>
                <w:rFonts w:hint="eastAsia" w:ascii="仿宋" w:hAnsi="仿宋" w:eastAsia="仿宋" w:cs="宋体"/>
                <w:kern w:val="0"/>
                <w:sz w:val="24"/>
              </w:rPr>
              <w:t>售后服务方案</w:t>
            </w:r>
          </w:p>
        </w:tc>
        <w:tc>
          <w:tcPr>
            <w:tcW w:w="563"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仿宋" w:hAnsi="仿宋" w:eastAsia="仿宋" w:cs="宋体"/>
                <w:kern w:val="0"/>
                <w:sz w:val="24"/>
              </w:rPr>
            </w:pPr>
            <w:r>
              <w:rPr>
                <w:rFonts w:hint="eastAsia" w:ascii="仿宋" w:hAnsi="仿宋" w:eastAsia="仿宋" w:cs="宋体"/>
                <w:kern w:val="0"/>
                <w:sz w:val="24"/>
                <w:lang w:val="en-US" w:eastAsia="zh-CN"/>
              </w:rPr>
              <w:t>20</w:t>
            </w:r>
            <w:r>
              <w:rPr>
                <w:rFonts w:hint="eastAsia" w:ascii="仿宋" w:hAnsi="仿宋" w:eastAsia="仿宋" w:cs="宋体"/>
                <w:kern w:val="0"/>
                <w:sz w:val="24"/>
              </w:rPr>
              <w:t>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仿宋" w:hAnsi="仿宋" w:eastAsia="仿宋" w:cs="宋体"/>
                <w:kern w:val="0"/>
                <w:sz w:val="24"/>
                <w:lang w:eastAsia="zh-CN"/>
              </w:rPr>
            </w:pPr>
            <w:r>
              <w:rPr>
                <w:rFonts w:hint="eastAsia" w:ascii="仿宋" w:hAnsi="仿宋" w:eastAsia="仿宋" w:cs="宋体"/>
                <w:kern w:val="0"/>
                <w:sz w:val="24"/>
              </w:rPr>
              <w:t>供应商服务方案内容包含①项目设计方案；②项目管理和保障计划；③项目实施方案；④项目培训方案；⑤项目售后服务方案。每一项内容详尽、满足项目要求且针对性强的得</w:t>
            </w:r>
            <w:r>
              <w:rPr>
                <w:rFonts w:hint="eastAsia" w:ascii="仿宋" w:hAnsi="仿宋" w:eastAsia="仿宋" w:cs="宋体"/>
                <w:kern w:val="0"/>
                <w:sz w:val="24"/>
                <w:lang w:val="en-US" w:eastAsia="zh-CN"/>
              </w:rPr>
              <w:t>4</w:t>
            </w:r>
            <w:r>
              <w:rPr>
                <w:rFonts w:hint="eastAsia" w:ascii="仿宋" w:hAnsi="仿宋" w:eastAsia="仿宋" w:cs="宋体"/>
                <w:kern w:val="0"/>
                <w:sz w:val="24"/>
              </w:rPr>
              <w:t>分，总计</w:t>
            </w:r>
            <w:r>
              <w:rPr>
                <w:rFonts w:hint="eastAsia" w:ascii="仿宋" w:hAnsi="仿宋" w:eastAsia="仿宋" w:cs="宋体"/>
                <w:kern w:val="0"/>
                <w:sz w:val="24"/>
                <w:lang w:val="en-US" w:eastAsia="zh-CN"/>
              </w:rPr>
              <w:t>20</w:t>
            </w:r>
            <w:r>
              <w:rPr>
                <w:rFonts w:hint="eastAsia" w:ascii="仿宋" w:hAnsi="仿宋" w:eastAsia="仿宋" w:cs="宋体"/>
                <w:kern w:val="0"/>
                <w:sz w:val="24"/>
              </w:rPr>
              <w:t>分；如每缺1项扣</w:t>
            </w:r>
            <w:r>
              <w:rPr>
                <w:rFonts w:hint="eastAsia" w:ascii="仿宋" w:hAnsi="仿宋" w:eastAsia="仿宋" w:cs="宋体"/>
                <w:kern w:val="0"/>
                <w:sz w:val="24"/>
                <w:lang w:val="en-US" w:eastAsia="zh-CN"/>
              </w:rPr>
              <w:t>4</w:t>
            </w:r>
            <w:r>
              <w:rPr>
                <w:rFonts w:hint="eastAsia" w:ascii="仿宋" w:hAnsi="仿宋" w:eastAsia="仿宋" w:cs="宋体"/>
                <w:kern w:val="0"/>
                <w:sz w:val="24"/>
              </w:rPr>
              <w:t>分；每有一项阐述简略或不符合项目实际情况扣1~</w:t>
            </w:r>
            <w:r>
              <w:rPr>
                <w:rFonts w:hint="eastAsia" w:ascii="仿宋" w:hAnsi="仿宋" w:eastAsia="仿宋" w:cs="宋体"/>
                <w:kern w:val="0"/>
                <w:sz w:val="24"/>
                <w:lang w:val="en-US" w:eastAsia="zh-CN"/>
              </w:rPr>
              <w:t>3</w:t>
            </w:r>
            <w:r>
              <w:rPr>
                <w:rFonts w:hint="eastAsia" w:ascii="仿宋" w:hAnsi="仿宋" w:eastAsia="仿宋" w:cs="宋体"/>
                <w:kern w:val="0"/>
                <w:sz w:val="24"/>
              </w:rPr>
              <w:t>分，直至本项分扣完为止</w:t>
            </w:r>
            <w:r>
              <w:rPr>
                <w:rFonts w:hint="eastAsia" w:ascii="仿宋" w:hAnsi="仿宋" w:eastAsia="仿宋" w:cs="宋体"/>
                <w:kern w:val="0"/>
                <w:sz w:val="24"/>
                <w:lang w:eastAsia="zh-CN"/>
              </w:rPr>
              <w:t>。</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仿宋" w:hAnsi="仿宋" w:eastAsia="仿宋" w:cs="宋体"/>
                <w:kern w:val="0"/>
                <w:sz w:val="24"/>
              </w:rPr>
            </w:pPr>
          </w:p>
        </w:tc>
      </w:tr>
      <w:bookmarkEnd w:id="0"/>
    </w:tbl>
    <w:p>
      <w:pPr>
        <w:pageBreakBefore w:val="0"/>
        <w:kinsoku/>
        <w:wordWrap/>
        <w:overflowPunct/>
        <w:topLinePunct w:val="0"/>
        <w:autoSpaceDE/>
        <w:autoSpaceDN/>
        <w:bidi w:val="0"/>
        <w:adjustRightInd w:val="0"/>
        <w:snapToGrid w:val="0"/>
        <w:spacing w:line="240" w:lineRule="auto"/>
        <w:rPr>
          <w:rFonts w:ascii="宋体" w:hAnsi="宋体" w:cs="宋体"/>
          <w:sz w:val="28"/>
          <w:szCs w:val="28"/>
        </w:rPr>
      </w:pPr>
    </w:p>
    <w:p>
      <w:r>
        <w:br w:type="page"/>
      </w:r>
    </w:p>
    <w:p>
      <w:pPr>
        <w:adjustRightInd w:val="0"/>
        <w:snapToGrid w:val="0"/>
        <w:spacing w:before="156" w:beforeLines="50" w:after="156" w:afterLines="50" w:line="360" w:lineRule="auto"/>
        <w:outlineLvl w:val="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val="0"/>
          <w:bCs/>
          <w:color w:val="000000"/>
          <w:sz w:val="28"/>
          <w:szCs w:val="21"/>
        </w:rPr>
        <w:t>附件</w:t>
      </w:r>
      <w:r>
        <w:rPr>
          <w:rFonts w:hint="eastAsia" w:asciiTheme="minorEastAsia" w:hAnsiTheme="minorEastAsia" w:eastAsiaTheme="minorEastAsia" w:cstheme="minorEastAsia"/>
          <w:b w:val="0"/>
          <w:bCs/>
          <w:color w:val="000000"/>
          <w:sz w:val="28"/>
          <w:szCs w:val="21"/>
          <w:lang w:val="en-US" w:eastAsia="zh-CN"/>
        </w:rPr>
        <w:t>2</w:t>
      </w:r>
      <w:r>
        <w:rPr>
          <w:rFonts w:hint="eastAsia" w:asciiTheme="minorEastAsia" w:hAnsiTheme="minorEastAsia" w:eastAsiaTheme="minorEastAsia" w:cstheme="minorEastAsia"/>
          <w:b w:val="0"/>
          <w:bCs/>
          <w:color w:val="000000"/>
          <w:sz w:val="28"/>
          <w:szCs w:val="21"/>
        </w:rPr>
        <w:t>：</w:t>
      </w:r>
      <w:r>
        <w:rPr>
          <w:rFonts w:hint="eastAsia" w:asciiTheme="minorEastAsia" w:hAnsiTheme="minorEastAsia" w:eastAsiaTheme="minorEastAsia" w:cstheme="minorEastAsia"/>
          <w:b w:val="0"/>
          <w:bCs/>
          <w:color w:val="000000"/>
          <w:sz w:val="28"/>
          <w:szCs w:val="21"/>
          <w:lang w:val="en-US" w:eastAsia="zh-CN"/>
        </w:rPr>
        <w:t>投标文件装订顺序</w:t>
      </w:r>
    </w:p>
    <w:p>
      <w:pPr>
        <w:spacing w:line="0" w:lineRule="atLeas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资质证明文件装订顺序</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中国境内注册并具有独立法人资格的一般纳税人合法企业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5"/>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投标人需提供代理产品或服务的逐级授权委托书（必须有授权日期、授权单位和被授权单位的印章，投标人不是生产厂家时提供）</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具有良好的商业信誉和健全的财务会计制度</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具有履行合同所必须的人员、设备和专业技术能力</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产品质量及货源承诺书：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格式自拟）</w:t>
      </w:r>
    </w:p>
    <w:p>
      <w:pPr>
        <w:numPr>
          <w:ilvl w:val="0"/>
          <w:numId w:val="5"/>
        </w:numPr>
        <w:tabs>
          <w:tab w:val="left" w:pos="0"/>
        </w:tabs>
        <w:spacing w:line="0" w:lineRule="atLeast"/>
        <w:ind w:left="425" w:leftChars="0" w:hanging="425" w:firstLineChars="0"/>
        <w:rPr>
          <w:rFonts w:hint="eastAsia"/>
          <w:sz w:val="18"/>
          <w:szCs w:val="18"/>
          <w:lang w:eastAsia="zh-CN"/>
        </w:rPr>
      </w:pPr>
      <w:r>
        <w:rPr>
          <w:rFonts w:hint="eastAsia"/>
          <w:sz w:val="18"/>
          <w:szCs w:val="18"/>
          <w:lang w:eastAsia="zh-CN"/>
        </w:rPr>
        <w:t>承诺函：对采购方认为必要的实地考察进行相应的协助</w:t>
      </w:r>
    </w:p>
    <w:p>
      <w:pPr>
        <w:numPr>
          <w:ilvl w:val="0"/>
          <w:numId w:val="5"/>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5"/>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5"/>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0" w:firstLine="42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numPr>
          <w:numId w:val="0"/>
        </w:numPr>
        <w:tabs>
          <w:tab w:val="left" w:pos="0"/>
        </w:tabs>
        <w:spacing w:line="0" w:lineRule="atLeast"/>
        <w:ind w:leftChars="0"/>
        <w:rPr>
          <w:rFonts w:hint="default" w:ascii="宋体" w:hAnsi="宋体" w:eastAsia="宋体" w:cs="宋体"/>
          <w:bCs/>
          <w:sz w:val="18"/>
          <w:szCs w:val="18"/>
          <w:lang w:val="en-US" w:eastAsia="zh-CN"/>
        </w:rPr>
      </w:pPr>
    </w:p>
    <w:p>
      <w:pPr>
        <w:numPr>
          <w:numId w:val="0"/>
        </w:numPr>
        <w:tabs>
          <w:tab w:val="left" w:pos="0"/>
        </w:tabs>
        <w:spacing w:line="0" w:lineRule="atLeast"/>
        <w:ind w:leftChars="0"/>
        <w:rPr>
          <w:rFonts w:hint="default" w:ascii="宋体" w:hAnsi="宋体" w:eastAsia="宋体" w:cs="宋体"/>
          <w:bCs/>
          <w:sz w:val="18"/>
          <w:szCs w:val="18"/>
          <w:lang w:val="en-US" w:eastAsia="zh-CN"/>
        </w:rPr>
      </w:pPr>
    </w:p>
    <w:p>
      <w:pPr>
        <w:spacing w:line="0" w:lineRule="atLeas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方案响应文件装订顺序</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6"/>
        </w:numPr>
        <w:tabs>
          <w:tab w:val="left" w:pos="0"/>
        </w:tabs>
        <w:spacing w:line="0" w:lineRule="atLeast"/>
        <w:ind w:left="425" w:leftChars="0" w:hanging="425" w:firstLineChars="0"/>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投标人需提供代理产品</w:t>
      </w:r>
      <w:r>
        <w:rPr>
          <w:rFonts w:hint="eastAsia" w:ascii="宋体" w:hAnsi="宋体" w:cs="宋体"/>
          <w:color w:val="auto"/>
          <w:kern w:val="0"/>
          <w:sz w:val="18"/>
          <w:szCs w:val="18"/>
          <w:lang w:val="en-US" w:eastAsia="zh-CN" w:bidi="ar"/>
        </w:rPr>
        <w:t>或服务的</w:t>
      </w:r>
      <w:r>
        <w:rPr>
          <w:rFonts w:hint="eastAsia" w:ascii="宋体" w:hAnsi="宋体" w:eastAsia="宋体" w:cs="宋体"/>
          <w:color w:val="auto"/>
          <w:kern w:val="0"/>
          <w:sz w:val="18"/>
          <w:szCs w:val="18"/>
          <w:lang w:val="en-US" w:eastAsia="zh-CN" w:bidi="ar"/>
        </w:rPr>
        <w:t>逐级授权委托书（必须有授权日期、授权单位和被授权单位的印章，投标人不是生产厂家时提供）</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6"/>
        </w:numPr>
        <w:tabs>
          <w:tab w:val="left" w:pos="0"/>
        </w:tabs>
        <w:spacing w:line="0" w:lineRule="atLeast"/>
        <w:ind w:left="425" w:leftChars="0" w:hanging="425" w:firstLineChars="0"/>
        <w:rPr>
          <w:rFonts w:hint="eastAsia"/>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6"/>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11"/>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11"/>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11"/>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ind w:firstLine="451" w:firstLineChars="187"/>
        <w:jc w:val="left"/>
        <w:rPr>
          <w:rFonts w:hint="eastAsia" w:ascii="宋体" w:hAnsi="宋体" w:eastAsia="宋体" w:cs="宋体"/>
          <w:b/>
          <w:sz w:val="24"/>
        </w:rPr>
      </w:pPr>
    </w:p>
    <w:p>
      <w:pPr>
        <w:pStyle w:val="4"/>
        <w:tabs>
          <w:tab w:val="left" w:pos="540"/>
        </w:tabs>
        <w:ind w:left="720" w:hanging="720"/>
        <w:jc w:val="center"/>
        <w:rPr>
          <w:rFonts w:hint="eastAsia" w:ascii="宋体" w:hAnsi="宋体" w:eastAsia="宋体" w:cs="宋体"/>
          <w:b w:val="0"/>
          <w:lang w:val="zh-CN"/>
        </w:rPr>
      </w:pPr>
      <w:bookmarkStart w:id="1" w:name="_Toc174767233"/>
      <w:bookmarkStart w:id="2" w:name="_Toc95295163"/>
      <w:bookmarkStart w:id="3" w:name="_Toc23734370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7"/>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1"/>
      <w:bookmarkEnd w:id="2"/>
      <w:bookmarkEnd w:id="3"/>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sz w:val="24"/>
        </w:rPr>
        <w:br w:type="page"/>
      </w: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sz w:val="32"/>
          <w:szCs w:val="32"/>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 采购物资名称：  </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承诺企业名称（公章）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法人代表或委托代理人（承诺人）  </w:t>
      </w:r>
    </w:p>
    <w:p>
      <w:pPr>
        <w:rPr>
          <w:rFonts w:hint="eastAsia" w:ascii="宋体" w:hAnsi="宋体" w:eastAsia="宋体" w:cs="宋体"/>
          <w:sz w:val="24"/>
          <w:szCs w:val="24"/>
        </w:rPr>
      </w:pPr>
    </w:p>
    <w:p>
      <w:pPr>
        <w:rPr>
          <w:rFonts w:hint="eastAsia" w:ascii="宋体" w:hAnsi="宋体" w:eastAsia="宋体" w:cs="宋体"/>
          <w:b w:val="0"/>
          <w:bCs/>
          <w:color w:val="000000"/>
          <w:sz w:val="28"/>
          <w:szCs w:val="21"/>
          <w:lang w:val="en-US" w:eastAsia="zh-CN"/>
        </w:rPr>
      </w:pPr>
      <w:r>
        <w:rPr>
          <w:rFonts w:hint="eastAsia" w:ascii="宋体" w:hAnsi="宋体" w:eastAsia="宋体" w:cs="宋体"/>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8"/>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42365"/>
    <w:multiLevelType w:val="singleLevel"/>
    <w:tmpl w:val="82142365"/>
    <w:lvl w:ilvl="0" w:tentative="0">
      <w:start w:val="1"/>
      <w:numFmt w:val="decimal"/>
      <w:lvlText w:val="%1."/>
      <w:lvlJc w:val="left"/>
      <w:pPr>
        <w:ind w:left="425" w:hanging="425"/>
      </w:pPr>
      <w:rPr>
        <w:rFonts w:hint="default"/>
      </w:rPr>
    </w:lvl>
  </w:abstractNum>
  <w:abstractNum w:abstractNumId="1">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C2B7711"/>
    <w:multiLevelType w:val="singleLevel"/>
    <w:tmpl w:val="AC2B7711"/>
    <w:lvl w:ilvl="0" w:tentative="0">
      <w:start w:val="1"/>
      <w:numFmt w:val="decimal"/>
      <w:suff w:val="nothing"/>
      <w:lvlText w:val="%1、"/>
      <w:lvlJc w:val="left"/>
    </w:lvl>
  </w:abstractNum>
  <w:abstractNum w:abstractNumId="3">
    <w:nsid w:val="D22F9339"/>
    <w:multiLevelType w:val="singleLevel"/>
    <w:tmpl w:val="D22F9339"/>
    <w:lvl w:ilvl="0" w:tentative="0">
      <w:start w:val="1"/>
      <w:numFmt w:val="decimal"/>
      <w:lvlText w:val="%1."/>
      <w:lvlJc w:val="left"/>
      <w:pPr>
        <w:ind w:left="425" w:hanging="425"/>
      </w:pPr>
      <w:rPr>
        <w:rFonts w:hint="default"/>
      </w:rPr>
    </w:lvl>
  </w:abstractNum>
  <w:abstractNum w:abstractNumId="4">
    <w:nsid w:val="34F55C09"/>
    <w:multiLevelType w:val="singleLevel"/>
    <w:tmpl w:val="34F55C09"/>
    <w:lvl w:ilvl="0" w:tentative="0">
      <w:start w:val="1"/>
      <w:numFmt w:val="decimal"/>
      <w:lvlText w:val="%1."/>
      <w:lvlJc w:val="left"/>
      <w:pPr>
        <w:ind w:left="425" w:hanging="425"/>
      </w:pPr>
      <w:rPr>
        <w:rFonts w:hint="default"/>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MDBlY2ZiMmVmNmI1MGZmNTg1MDk0OGM5YzE1YjAifQ=="/>
  </w:docVars>
  <w:rsids>
    <w:rsidRoot w:val="0078579E"/>
    <w:rsid w:val="000377C9"/>
    <w:rsid w:val="0004213A"/>
    <w:rsid w:val="0008011E"/>
    <w:rsid w:val="000B5A0A"/>
    <w:rsid w:val="000E4F45"/>
    <w:rsid w:val="000F2936"/>
    <w:rsid w:val="003D1845"/>
    <w:rsid w:val="00434AB8"/>
    <w:rsid w:val="00460DC3"/>
    <w:rsid w:val="00484356"/>
    <w:rsid w:val="004B7AFF"/>
    <w:rsid w:val="00515C7B"/>
    <w:rsid w:val="005F543D"/>
    <w:rsid w:val="006116CC"/>
    <w:rsid w:val="0063112E"/>
    <w:rsid w:val="006D2306"/>
    <w:rsid w:val="007224B2"/>
    <w:rsid w:val="00765744"/>
    <w:rsid w:val="00770CF1"/>
    <w:rsid w:val="0078579E"/>
    <w:rsid w:val="008B2331"/>
    <w:rsid w:val="008C3510"/>
    <w:rsid w:val="008C6A07"/>
    <w:rsid w:val="00B32B49"/>
    <w:rsid w:val="00B51F21"/>
    <w:rsid w:val="00C3542A"/>
    <w:rsid w:val="00C703FF"/>
    <w:rsid w:val="00CC5A8C"/>
    <w:rsid w:val="00D000BC"/>
    <w:rsid w:val="00D113FE"/>
    <w:rsid w:val="00D2288F"/>
    <w:rsid w:val="00D26095"/>
    <w:rsid w:val="00D3698F"/>
    <w:rsid w:val="00D41D83"/>
    <w:rsid w:val="00D70303"/>
    <w:rsid w:val="00DA7BCC"/>
    <w:rsid w:val="00DE7DDF"/>
    <w:rsid w:val="00EA07E9"/>
    <w:rsid w:val="00EF528D"/>
    <w:rsid w:val="034B4D1B"/>
    <w:rsid w:val="05295016"/>
    <w:rsid w:val="05DD6398"/>
    <w:rsid w:val="086E155C"/>
    <w:rsid w:val="0DFE649B"/>
    <w:rsid w:val="1BD33160"/>
    <w:rsid w:val="1F334022"/>
    <w:rsid w:val="284927EA"/>
    <w:rsid w:val="2E340E28"/>
    <w:rsid w:val="31FB5279"/>
    <w:rsid w:val="31FE0336"/>
    <w:rsid w:val="32A31B6B"/>
    <w:rsid w:val="3D127083"/>
    <w:rsid w:val="3DBF4DA0"/>
    <w:rsid w:val="3ED70F87"/>
    <w:rsid w:val="3EFE1622"/>
    <w:rsid w:val="44EB5999"/>
    <w:rsid w:val="452B5B35"/>
    <w:rsid w:val="485164B3"/>
    <w:rsid w:val="4C805AFD"/>
    <w:rsid w:val="56993385"/>
    <w:rsid w:val="59767257"/>
    <w:rsid w:val="6242011B"/>
    <w:rsid w:val="63A45A4C"/>
    <w:rsid w:val="6A303312"/>
    <w:rsid w:val="6D0A37EF"/>
    <w:rsid w:val="71150E21"/>
    <w:rsid w:val="72E94867"/>
    <w:rsid w:val="760D748C"/>
    <w:rsid w:val="7B7D225C"/>
    <w:rsid w:val="7C266FE6"/>
    <w:rsid w:val="7F07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rFonts w:eastAsiaTheme="majorEastAsia"/>
      <w:b/>
      <w:bCs/>
      <w:kern w:val="44"/>
      <w:sz w:val="32"/>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Cs/>
      <w:sz w:val="28"/>
      <w:szCs w:val="32"/>
    </w:rPr>
  </w:style>
  <w:style w:type="paragraph" w:styleId="5">
    <w:name w:val="heading 3"/>
    <w:basedOn w:val="1"/>
    <w:next w:val="1"/>
    <w:link w:val="19"/>
    <w:unhideWhenUsed/>
    <w:qFormat/>
    <w:uiPriority w:val="9"/>
    <w:pPr>
      <w:keepNext/>
      <w:keepLines/>
      <w:spacing w:before="260" w:after="260" w:line="416" w:lineRule="auto"/>
      <w:outlineLvl w:val="2"/>
    </w:pPr>
    <w:rPr>
      <w:rFonts w:eastAsiaTheme="majorEastAsia"/>
      <w:b/>
      <w:bCs/>
      <w:sz w:val="28"/>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before="60" w:after="60" w:line="360" w:lineRule="auto"/>
      <w:ind w:firstLine="200"/>
    </w:pPr>
    <w:rPr>
      <w:rFonts w:ascii="Times New Roman" w:hAnsi="Times New Roman" w:eastAsia="仿宋_GB2312" w:cs="Times New Roman"/>
      <w:sz w:val="32"/>
      <w:szCs w:val="24"/>
    </w:rPr>
  </w:style>
  <w:style w:type="paragraph" w:styleId="6">
    <w:name w:val="annotation text"/>
    <w:basedOn w:val="1"/>
    <w:qFormat/>
    <w:uiPriority w:val="0"/>
    <w:pPr>
      <w:jc w:val="left"/>
    </w:pPr>
  </w:style>
  <w:style w:type="paragraph" w:styleId="7">
    <w:name w:val="Body Text Indent"/>
    <w:basedOn w:val="1"/>
    <w:link w:val="21"/>
    <w:qFormat/>
    <w:uiPriority w:val="0"/>
    <w:pPr>
      <w:ind w:firstLine="630"/>
    </w:pPr>
    <w:rPr>
      <w:rFonts w:ascii="Times New Roman" w:hAnsi="Times New Roman" w:eastAsia="宋体" w:cs="Times New Roman"/>
      <w:sz w:val="32"/>
      <w:szCs w:val="20"/>
    </w:rPr>
  </w:style>
  <w:style w:type="paragraph" w:styleId="8">
    <w:name w:val="footer"/>
    <w:basedOn w:val="1"/>
    <w:next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character" w:styleId="13">
    <w:name w:val="Strong"/>
    <w:qFormat/>
    <w:uiPriority w:val="0"/>
    <w:rPr>
      <w:b/>
      <w:bCs/>
    </w:rPr>
  </w:style>
  <w:style w:type="character" w:customStyle="1" w:styleId="14">
    <w:name w:val="页眉 字符"/>
    <w:basedOn w:val="12"/>
    <w:link w:val="9"/>
    <w:semiHidden/>
    <w:qFormat/>
    <w:uiPriority w:val="99"/>
    <w:rPr>
      <w:sz w:val="18"/>
      <w:szCs w:val="18"/>
    </w:rPr>
  </w:style>
  <w:style w:type="character" w:customStyle="1" w:styleId="15">
    <w:name w:val="页脚 字符"/>
    <w:basedOn w:val="12"/>
    <w:link w:val="8"/>
    <w:semiHidden/>
    <w:uiPriority w:val="99"/>
    <w:rPr>
      <w:sz w:val="18"/>
      <w:szCs w:val="18"/>
    </w:rPr>
  </w:style>
  <w:style w:type="character" w:customStyle="1" w:styleId="16">
    <w:name w:val="标题 1 字符"/>
    <w:basedOn w:val="12"/>
    <w:link w:val="3"/>
    <w:qFormat/>
    <w:uiPriority w:val="9"/>
    <w:rPr>
      <w:rFonts w:eastAsiaTheme="majorEastAsia"/>
      <w:b/>
      <w:bCs/>
      <w:kern w:val="44"/>
      <w:sz w:val="32"/>
      <w:szCs w:val="44"/>
    </w:rPr>
  </w:style>
  <w:style w:type="character" w:customStyle="1" w:styleId="17">
    <w:name w:val="标题 2 字符"/>
    <w:basedOn w:val="12"/>
    <w:link w:val="4"/>
    <w:qFormat/>
    <w:uiPriority w:val="9"/>
    <w:rPr>
      <w:rFonts w:asciiTheme="majorHAnsi" w:hAnsiTheme="majorHAnsi" w:eastAsiaTheme="majorEastAsia" w:cstheme="majorBidi"/>
      <w:bCs/>
      <w:sz w:val="28"/>
      <w:szCs w:val="32"/>
    </w:rPr>
  </w:style>
  <w:style w:type="paragraph" w:styleId="18">
    <w:name w:val="List Paragraph"/>
    <w:basedOn w:val="1"/>
    <w:qFormat/>
    <w:uiPriority w:val="34"/>
    <w:pPr>
      <w:ind w:firstLine="420" w:firstLineChars="200"/>
    </w:pPr>
  </w:style>
  <w:style w:type="character" w:customStyle="1" w:styleId="19">
    <w:name w:val="标题 3 字符"/>
    <w:basedOn w:val="12"/>
    <w:link w:val="5"/>
    <w:uiPriority w:val="9"/>
    <w:rPr>
      <w:rFonts w:eastAsiaTheme="majorEastAsia"/>
      <w:b/>
      <w:bCs/>
      <w:sz w:val="28"/>
      <w:szCs w:val="32"/>
    </w:rPr>
  </w:style>
  <w:style w:type="character" w:customStyle="1" w:styleId="20">
    <w:name w:val="正文文本 字符"/>
    <w:basedOn w:val="12"/>
    <w:link w:val="2"/>
    <w:qFormat/>
    <w:uiPriority w:val="99"/>
    <w:rPr>
      <w:rFonts w:ascii="Times New Roman" w:hAnsi="Times New Roman" w:eastAsia="仿宋_GB2312" w:cs="Times New Roman"/>
      <w:sz w:val="32"/>
      <w:szCs w:val="24"/>
    </w:rPr>
  </w:style>
  <w:style w:type="character" w:customStyle="1" w:styleId="21">
    <w:name w:val="正文文本缩进 字符"/>
    <w:basedOn w:val="12"/>
    <w:link w:val="7"/>
    <w:qFormat/>
    <w:uiPriority w:val="0"/>
    <w:rPr>
      <w:rFonts w:ascii="Times New Roman" w:hAnsi="Times New Roman" w:eastAsia="宋体"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1382</Words>
  <Characters>1437</Characters>
  <Lines>10</Lines>
  <Paragraphs>2</Paragraphs>
  <TotalTime>5</TotalTime>
  <ScaleCrop>false</ScaleCrop>
  <LinksUpToDate>false</LinksUpToDate>
  <CharactersWithSpaces>1439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2021-08-27T02:51:00Z</dcterms:created>
  <dc:creator>13308</dc:creator>
  <cp:lastModifiedBy>胡瑞</cp:lastModifiedBy>
  <dcterms:modified xsi:type="dcterms:W3CDTF">2022-08-16T01:30:53Z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C4415442E2824FB88DE77DDB25F624EA</vt:lpwstr>
  </property>
</Properties>
</file>