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ind w:left="0" w:firstLine="0"/>
        <w:jc w:val="both"/>
        <w:rPr>
          <w:rFonts w:hint="eastAsia" w:ascii="黑体" w:hAnsi="黑体" w:eastAsia="黑体" w:cs="黑体"/>
          <w:b/>
          <w:bCs/>
          <w:i w:val="0"/>
          <w:caps w:val="0"/>
          <w:color w:val="000000"/>
          <w:spacing w:val="0"/>
          <w:sz w:val="32"/>
          <w:szCs w:val="32"/>
          <w:lang w:val="en-US" w:eastAsia="zh-CN"/>
        </w:rPr>
      </w:pPr>
      <w:r>
        <w:rPr>
          <w:rFonts w:hint="eastAsia" w:ascii="黑体" w:hAnsi="黑体" w:eastAsia="黑体" w:cs="黑体"/>
          <w:b/>
          <w:bCs/>
          <w:i w:val="0"/>
          <w:caps w:val="0"/>
          <w:color w:val="000000"/>
          <w:spacing w:val="0"/>
          <w:sz w:val="32"/>
          <w:szCs w:val="32"/>
        </w:rPr>
        <w:t>附件</w:t>
      </w:r>
      <w:r>
        <w:rPr>
          <w:rFonts w:hint="eastAsia" w:ascii="黑体" w:hAnsi="黑体" w:eastAsia="黑体" w:cs="黑体"/>
          <w:b/>
          <w:bCs/>
          <w:i w:val="0"/>
          <w:caps w:val="0"/>
          <w:color w:val="000000"/>
          <w:spacing w:val="0"/>
          <w:sz w:val="32"/>
          <w:szCs w:val="32"/>
          <w:lang w:val="en-US" w:eastAsia="zh-CN"/>
        </w:rPr>
        <w:t>1</w:t>
      </w:r>
      <w:r>
        <w:rPr>
          <w:rFonts w:hint="eastAsia" w:ascii="黑体" w:hAnsi="黑体" w:eastAsia="黑体" w:cs="黑体"/>
          <w:b/>
          <w:bCs/>
          <w:i w:val="0"/>
          <w:caps w:val="0"/>
          <w:color w:val="000000"/>
          <w:spacing w:val="0"/>
          <w:sz w:val="32"/>
          <w:szCs w:val="32"/>
        </w:rPr>
        <w:t>：</w:t>
      </w:r>
      <w:r>
        <w:rPr>
          <w:rFonts w:hint="eastAsia" w:ascii="黑体" w:hAnsi="黑体" w:eastAsia="黑体" w:cs="黑体"/>
          <w:b/>
          <w:bCs/>
          <w:i w:val="0"/>
          <w:caps w:val="0"/>
          <w:color w:val="000000"/>
          <w:spacing w:val="0"/>
          <w:sz w:val="32"/>
          <w:szCs w:val="32"/>
          <w:lang w:val="en-US" w:eastAsia="zh-CN"/>
        </w:rPr>
        <w:t>采购需求</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黑体" w:hAnsi="黑体" w:eastAsia="黑体" w:cs="黑体"/>
          <w:b/>
          <w:bCs/>
          <w:i w:val="0"/>
          <w:caps w:val="0"/>
          <w:color w:val="000000"/>
          <w:spacing w:val="0"/>
          <w:sz w:val="24"/>
          <w:szCs w:val="24"/>
        </w:rPr>
      </w:pPr>
      <w:r>
        <w:rPr>
          <w:rFonts w:hint="eastAsia" w:ascii="黑体" w:hAnsi="黑体" w:eastAsia="黑体" w:cs="黑体"/>
          <w:b/>
          <w:bCs/>
          <w:i w:val="0"/>
          <w:caps w:val="0"/>
          <w:color w:val="000000"/>
          <w:spacing w:val="0"/>
          <w:sz w:val="24"/>
          <w:szCs w:val="24"/>
        </w:rPr>
        <w:t>一、工程概况</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工程位置：成都市武侯区沙堰西二街290号</w:t>
      </w:r>
      <w:r>
        <w:rPr>
          <w:rFonts w:hint="eastAsia" w:ascii="宋体" w:hAnsi="宋体" w:eastAsia="宋体" w:cs="宋体"/>
          <w:i w:val="0"/>
          <w:caps w:val="0"/>
          <w:color w:val="000000"/>
          <w:spacing w:val="0"/>
          <w:sz w:val="24"/>
          <w:szCs w:val="24"/>
          <w:lang w:eastAsia="zh-CN"/>
        </w:rPr>
        <w:t>。</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2.供货类别</w:t>
      </w:r>
      <w:r>
        <w:rPr>
          <w:rFonts w:hint="eastAsia" w:ascii="宋体" w:hAnsi="宋体" w:eastAsia="宋体" w:cs="宋体"/>
          <w:i w:val="0"/>
          <w:caps w:val="0"/>
          <w:color w:val="000000"/>
          <w:spacing w:val="0"/>
          <w:sz w:val="24"/>
          <w:szCs w:val="24"/>
        </w:rPr>
        <w:t>：手持式二氧化碳检测仪</w:t>
      </w:r>
      <w:r>
        <w:rPr>
          <w:rFonts w:hint="eastAsia" w:ascii="宋体" w:hAnsi="宋体" w:eastAsia="宋体" w:cs="宋体"/>
          <w:i w:val="0"/>
          <w:caps w:val="0"/>
          <w:color w:val="000000"/>
          <w:spacing w:val="0"/>
          <w:sz w:val="24"/>
          <w:szCs w:val="24"/>
          <w:lang w:val="en-US" w:eastAsia="zh-CN"/>
        </w:rPr>
        <w:t>数量</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液氮和二氧化碳监测系统</w:t>
      </w:r>
      <w:r>
        <w:rPr>
          <w:rFonts w:hint="eastAsia" w:ascii="宋体" w:hAnsi="宋体" w:eastAsia="宋体" w:cs="宋体"/>
          <w:i w:val="0"/>
          <w:caps w:val="0"/>
          <w:color w:val="000000"/>
          <w:spacing w:val="0"/>
          <w:sz w:val="24"/>
          <w:szCs w:val="24"/>
          <w:lang w:eastAsia="zh-CN"/>
        </w:rPr>
        <w:t>。</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b/>
          <w:bCs/>
          <w:i w:val="0"/>
          <w:caps w:val="0"/>
          <w:color w:val="000000"/>
          <w:spacing w:val="0"/>
          <w:sz w:val="24"/>
          <w:szCs w:val="24"/>
        </w:rPr>
      </w:pPr>
      <w:r>
        <w:rPr>
          <w:rFonts w:hint="eastAsia" w:ascii="黑体" w:hAnsi="黑体" w:eastAsia="黑体" w:cs="黑体"/>
          <w:b/>
          <w:bCs/>
          <w:i w:val="0"/>
          <w:caps w:val="0"/>
          <w:color w:val="000000"/>
          <w:spacing w:val="0"/>
          <w:sz w:val="24"/>
          <w:szCs w:val="24"/>
        </w:rPr>
        <w:t>二、技术要求及其它</w:t>
      </w:r>
    </w:p>
    <w:p>
      <w:pPr>
        <w:pageBreakBefore w:val="0"/>
        <w:numPr>
          <w:ilvl w:val="0"/>
          <w:numId w:val="0"/>
        </w:numPr>
        <w:kinsoku/>
        <w:wordWrap/>
        <w:overflowPunct/>
        <w:topLinePunct w:val="0"/>
        <w:autoSpaceDE/>
        <w:autoSpaceDN/>
        <w:bidi w:val="0"/>
        <w:spacing w:before="218" w:line="360" w:lineRule="auto"/>
        <w:jc w:val="left"/>
        <w:textAlignment w:val="auto"/>
        <w:rPr>
          <w:rFonts w:hint="eastAsia" w:ascii="宋体" w:hAnsi="宋体" w:eastAsia="宋体" w:cs="宋体"/>
          <w:b w:val="0"/>
          <w:bCs w:val="0"/>
          <w:i w:val="0"/>
          <w:caps w:val="0"/>
          <w:color w:val="000000"/>
          <w:spacing w:val="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实验室监测系统平台技术要求</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实验室监控系统平台集成二氧化碳培养箱、冰箱、液氮罐、指纹锁等监测模块；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无线监测：可无线监控≥50个设备，可采集液氮罐温度、液位、二氧化碳培养箱二氧化碳浓度、氧气浓度、冰箱温度等数据，并可连接液氮罐指纹锁；</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提供可 24小时实时监测，可查看历史数据，实现智能追溯，同时可将所采集数据接入监控系统，实现一体化组网；</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具备数据续传功能，当数据在某一固定时间点上传数据失败时，会在下一固定时间点一起上传；</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对监测到的异常数据进行声音报警、电话报警、短信报警、软件界面色块报警；</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可以报表形式导出所有监测数据；</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统软件内嵌式，实现传感器同步更新；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具备设备校准提醒功能；</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支持多人指纹验证开锁；</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具有断电模组：监测实验室供电情况，对设备供电异常情况报警；</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配置一台服务器级别主机及显示器;</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配置清单：实验室监测平台系统一套，服务器一套；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b/>
          <w:bCs/>
          <w:color w:val="000000"/>
          <w:sz w:val="24"/>
          <w:szCs w:val="24"/>
        </w:rPr>
      </w:pPr>
      <w:r>
        <w:rPr>
          <w:rFonts w:hint="eastAsia" w:ascii="黑体" w:hAnsi="黑体" w:eastAsia="黑体" w:cs="黑体"/>
          <w:b/>
          <w:bCs/>
          <w:color w:val="000000"/>
          <w:sz w:val="24"/>
          <w:szCs w:val="24"/>
        </w:rPr>
        <w:t>2</w:t>
      </w:r>
      <w:r>
        <w:rPr>
          <w:rFonts w:hint="eastAsia" w:ascii="黑体" w:hAnsi="黑体" w:eastAsia="黑体" w:cs="黑体"/>
          <w:b/>
          <w:bCs/>
          <w:color w:val="000000"/>
          <w:sz w:val="24"/>
          <w:szCs w:val="24"/>
          <w:lang w:val="en-US" w:eastAsia="zh-CN"/>
        </w:rPr>
        <w:t>.</w:t>
      </w:r>
      <w:r>
        <w:rPr>
          <w:rFonts w:hint="eastAsia" w:ascii="黑体" w:hAnsi="黑体" w:eastAsia="黑体" w:cs="黑体"/>
          <w:b/>
          <w:bCs/>
          <w:color w:val="000000"/>
          <w:sz w:val="24"/>
          <w:szCs w:val="24"/>
        </w:rPr>
        <w:t>液氮监测模块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具备温度采集功能，能通过温度传感器实时采集液氮罐内温度，温度传感器有效测温范围-200℃～50℃（精度：不低于±0.1℃）或者具备液位采集功能，能通过传感器实时液氮罐内液位高度。</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数据上传频次：&lt;1min；</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采用无线通讯方式，有效传输距离≥30m，可无缝连接到实验室监测平台。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具备数据传输功能，能够将监控仪采集的温度、液位、告警等信息上传至平台，当通讯断开连接支持断点记录，待通讯恢复后自动断点补传数据，也可通过软件直接读取设备数据。</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配置清单：液氮监测模块25套；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b/>
          <w:bCs/>
          <w:color w:val="000000"/>
          <w:sz w:val="24"/>
          <w:szCs w:val="24"/>
        </w:rPr>
      </w:pPr>
      <w:r>
        <w:rPr>
          <w:rFonts w:hint="eastAsia" w:ascii="黑体" w:hAnsi="黑体" w:eastAsia="黑体" w:cs="黑体"/>
          <w:b/>
          <w:bCs/>
          <w:color w:val="000000"/>
          <w:sz w:val="24"/>
          <w:szCs w:val="24"/>
        </w:rPr>
        <w:t>3</w:t>
      </w:r>
      <w:r>
        <w:rPr>
          <w:rFonts w:hint="eastAsia" w:ascii="黑体" w:hAnsi="黑体" w:eastAsia="黑体" w:cs="黑体"/>
          <w:b/>
          <w:bCs/>
          <w:color w:val="000000"/>
          <w:sz w:val="24"/>
          <w:szCs w:val="24"/>
          <w:lang w:val="en-US" w:eastAsia="zh-CN"/>
        </w:rPr>
        <w:t>.</w:t>
      </w:r>
      <w:r>
        <w:rPr>
          <w:rFonts w:hint="eastAsia" w:ascii="黑体" w:hAnsi="黑体" w:eastAsia="黑体" w:cs="黑体"/>
          <w:b/>
          <w:bCs/>
          <w:color w:val="000000"/>
          <w:sz w:val="24"/>
          <w:szCs w:val="24"/>
        </w:rPr>
        <w:t>液氮罐指纹锁模块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液氮罐指纹锁可由电池供电，具备独立指纹识别模块，电池供电时间≥1年；</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采用上下提拉式解锁方式，并能远程进行智能开锁；</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指纹锁可支持无线控制，实验室监控平台远程开锁，并保存所有开锁记录，可查询与导出；</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配置清单：液氮罐指纹锁监测模块25套；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b/>
          <w:bCs/>
          <w:color w:val="000000"/>
          <w:sz w:val="24"/>
          <w:szCs w:val="24"/>
        </w:rPr>
      </w:pPr>
      <w:r>
        <w:rPr>
          <w:rFonts w:hint="eastAsia" w:ascii="黑体" w:hAnsi="黑体" w:eastAsia="黑体" w:cs="黑体"/>
          <w:b/>
          <w:bCs/>
          <w:color w:val="000000"/>
          <w:sz w:val="24"/>
          <w:szCs w:val="24"/>
        </w:rPr>
        <w:t>4</w:t>
      </w:r>
      <w:r>
        <w:rPr>
          <w:rFonts w:hint="eastAsia" w:ascii="黑体" w:hAnsi="黑体" w:eastAsia="黑体" w:cs="黑体"/>
          <w:b/>
          <w:bCs/>
          <w:color w:val="000000"/>
          <w:sz w:val="24"/>
          <w:szCs w:val="24"/>
          <w:lang w:val="en-US" w:eastAsia="zh-CN"/>
        </w:rPr>
        <w:t>.</w:t>
      </w:r>
      <w:r>
        <w:rPr>
          <w:rFonts w:hint="eastAsia" w:ascii="黑体" w:hAnsi="黑体" w:eastAsia="黑体" w:cs="黑体"/>
          <w:b/>
          <w:bCs/>
          <w:color w:val="000000"/>
          <w:sz w:val="24"/>
          <w:szCs w:val="24"/>
        </w:rPr>
        <w:t>二氧化碳三气培养箱监测模块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无线监测：可将数据通过无线方式发送至实验室监控系统平台；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对监测到的异常数据进行声音报警、电话报警、短信报警、软件界面色块报警；</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传感器探头监测参数：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4.3.1具备监测培养箱内二氧化碳浓度、、温度、等功能；</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4.3.2二氧化碳浓度监测</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4.3.2.1精度：不低于±0.1%；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4.3.2.2分辨率：不低于±0.01%；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4.3.2.3测量范围：0-20%；</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4.3.4温度监测</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4.3.4.1精度：不低于±1℃；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4.3.4.2分辨率：不低于±0.01%；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4.3.4.3测量范围：0-100℃ ；</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4.4检测装置内置电池，可使用≥1年；</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4.5配置清单：二氧化碳三气培养箱监测模块5套；</w:t>
      </w:r>
    </w:p>
    <w:p>
      <w:pPr>
        <w:pageBreakBefore w:val="0"/>
        <w:kinsoku/>
        <w:wordWrap/>
        <w:overflowPunct/>
        <w:topLinePunct w:val="0"/>
        <w:autoSpaceDE/>
        <w:autoSpaceDN/>
        <w:bidi w:val="0"/>
        <w:spacing w:before="218" w:line="360" w:lineRule="auto"/>
        <w:jc w:val="left"/>
        <w:textAlignment w:val="auto"/>
        <w:rPr>
          <w:rFonts w:hint="eastAsia" w:ascii="黑体" w:hAnsi="黑体" w:eastAsia="黑体" w:cs="黑体"/>
          <w:b/>
          <w:bCs/>
          <w:color w:val="000000"/>
          <w:sz w:val="24"/>
          <w:szCs w:val="24"/>
        </w:rPr>
      </w:pPr>
      <w:r>
        <w:rPr>
          <w:rFonts w:hint="eastAsia" w:ascii="黑体" w:hAnsi="黑体" w:eastAsia="黑体" w:cs="黑体"/>
          <w:b/>
          <w:bCs/>
          <w:color w:val="000000"/>
          <w:sz w:val="24"/>
          <w:szCs w:val="24"/>
        </w:rPr>
        <w:t>5</w:t>
      </w:r>
      <w:r>
        <w:rPr>
          <w:rFonts w:hint="eastAsia" w:ascii="黑体" w:hAnsi="黑体" w:eastAsia="黑体" w:cs="黑体"/>
          <w:b/>
          <w:bCs/>
          <w:color w:val="000000"/>
          <w:sz w:val="24"/>
          <w:szCs w:val="24"/>
          <w:lang w:val="en-US" w:eastAsia="zh-CN"/>
        </w:rPr>
        <w:t>.</w:t>
      </w:r>
      <w:r>
        <w:rPr>
          <w:rFonts w:hint="eastAsia" w:ascii="黑体" w:hAnsi="黑体" w:eastAsia="黑体" w:cs="黑体"/>
          <w:b/>
          <w:bCs/>
          <w:color w:val="000000"/>
          <w:sz w:val="24"/>
          <w:szCs w:val="24"/>
        </w:rPr>
        <w:t>二氧化碳台式培养箱监测模块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无线监测：可将数据通过无线方式发送至实验室监控系统平台；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对监测到的异常数据进行声音报警、电话报警、短信报警、软件界面色块报警；</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传感器探头监测参数：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5.3.1具备监测培养箱内二氧化碳浓度、氧气浓度等功能；</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5.3.2二氧化碳浓度监测</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rPr>
        <w:t>5.3.2.1精度：不低于</w:t>
      </w:r>
      <w:r>
        <w:rPr>
          <w:rFonts w:hint="eastAsia" w:ascii="宋体" w:hAnsi="宋体" w:eastAsia="宋体" w:cs="宋体"/>
          <w:color w:val="000000"/>
          <w:sz w:val="24"/>
          <w:szCs w:val="24"/>
          <w:lang w:eastAsia="en-US"/>
        </w:rPr>
        <w:t>±0.</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en-US"/>
        </w:rPr>
        <w:t>%；</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5.3.2.2分辨率：不低于</w:t>
      </w:r>
      <w:r>
        <w:rPr>
          <w:rFonts w:hint="eastAsia" w:ascii="宋体" w:hAnsi="宋体" w:eastAsia="宋体" w:cs="宋体"/>
          <w:color w:val="000000"/>
          <w:sz w:val="24"/>
          <w:szCs w:val="24"/>
          <w:lang w:eastAsia="en-US"/>
        </w:rPr>
        <w:t>±0.</w:t>
      </w:r>
      <w:r>
        <w:rPr>
          <w:rFonts w:hint="eastAsia" w:ascii="宋体" w:hAnsi="宋体" w:eastAsia="宋体" w:cs="宋体"/>
          <w:color w:val="000000"/>
          <w:sz w:val="24"/>
          <w:szCs w:val="24"/>
        </w:rPr>
        <w:t>01</w:t>
      </w:r>
      <w:r>
        <w:rPr>
          <w:rFonts w:hint="eastAsia" w:ascii="宋体" w:hAnsi="宋体" w:eastAsia="宋体" w:cs="宋体"/>
          <w:color w:val="000000"/>
          <w:sz w:val="24"/>
          <w:szCs w:val="24"/>
          <w:lang w:eastAsia="en-US"/>
        </w:rPr>
        <w:t>%</w:t>
      </w:r>
      <w:r>
        <w:rPr>
          <w:rFonts w:hint="eastAsia" w:ascii="宋体" w:hAnsi="宋体" w:eastAsia="宋体" w:cs="宋体"/>
          <w:color w:val="000000"/>
          <w:sz w:val="24"/>
          <w:szCs w:val="24"/>
        </w:rPr>
        <w:t>；</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5.3.2.3测量范围：0-20%；</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5.3.3氧气浓度监测</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rPr>
        <w:t>5.3.3.1精度：不低于</w:t>
      </w:r>
      <w:r>
        <w:rPr>
          <w:rFonts w:hint="eastAsia" w:ascii="宋体" w:hAnsi="宋体" w:eastAsia="宋体" w:cs="宋体"/>
          <w:color w:val="000000"/>
          <w:sz w:val="24"/>
          <w:szCs w:val="24"/>
          <w:lang w:eastAsia="en-US"/>
        </w:rPr>
        <w:t>±0.</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en-US"/>
        </w:rPr>
        <w:t>%；</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5.3.3.2分辨率：不低于</w:t>
      </w:r>
      <w:r>
        <w:rPr>
          <w:rFonts w:hint="eastAsia" w:ascii="宋体" w:hAnsi="宋体" w:eastAsia="宋体" w:cs="宋体"/>
          <w:color w:val="000000"/>
          <w:sz w:val="24"/>
          <w:szCs w:val="24"/>
          <w:lang w:eastAsia="en-US"/>
        </w:rPr>
        <w:t>±0.</w:t>
      </w:r>
      <w:r>
        <w:rPr>
          <w:rFonts w:hint="eastAsia" w:ascii="宋体" w:hAnsi="宋体" w:eastAsia="宋体" w:cs="宋体"/>
          <w:color w:val="000000"/>
          <w:sz w:val="24"/>
          <w:szCs w:val="24"/>
        </w:rPr>
        <w:t>01</w:t>
      </w:r>
      <w:r>
        <w:rPr>
          <w:rFonts w:hint="eastAsia" w:ascii="宋体" w:hAnsi="宋体" w:eastAsia="宋体" w:cs="宋体"/>
          <w:color w:val="000000"/>
          <w:sz w:val="24"/>
          <w:szCs w:val="24"/>
          <w:lang w:eastAsia="en-US"/>
        </w:rPr>
        <w:t>%</w:t>
      </w:r>
      <w:r>
        <w:rPr>
          <w:rFonts w:hint="eastAsia" w:ascii="宋体" w:hAnsi="宋体" w:eastAsia="宋体" w:cs="宋体"/>
          <w:color w:val="000000"/>
          <w:sz w:val="24"/>
          <w:szCs w:val="24"/>
        </w:rPr>
        <w:t>；</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5.3.3.3测量范围：0-100%；</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5.4检测装置内置电池，可使用≥1年；</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5.5配置清单：二氧化碳台式培养箱监测模块1套；</w:t>
      </w:r>
    </w:p>
    <w:p>
      <w:pPr>
        <w:pageBreakBefore w:val="0"/>
        <w:numPr>
          <w:numId w:val="0"/>
        </w:numPr>
        <w:kinsoku/>
        <w:wordWrap/>
        <w:overflowPunct/>
        <w:topLinePunct w:val="0"/>
        <w:autoSpaceDE/>
        <w:autoSpaceDN/>
        <w:bidi w:val="0"/>
        <w:spacing w:before="218" w:line="360" w:lineRule="auto"/>
        <w:jc w:val="left"/>
        <w:textAlignment w:val="auto"/>
        <w:rPr>
          <w:rFonts w:hint="eastAsia" w:ascii="黑体" w:hAnsi="黑体" w:eastAsia="黑体" w:cs="黑体"/>
          <w:b/>
          <w:bCs/>
          <w:color w:val="000000"/>
          <w:sz w:val="24"/>
          <w:szCs w:val="24"/>
        </w:rPr>
      </w:pPr>
      <w:r>
        <w:rPr>
          <w:rFonts w:hint="eastAsia" w:ascii="黑体" w:hAnsi="黑体" w:eastAsia="黑体" w:cs="黑体"/>
          <w:b/>
          <w:bCs/>
          <w:color w:val="000000"/>
          <w:sz w:val="24"/>
          <w:szCs w:val="24"/>
          <w:lang w:val="en-US" w:eastAsia="zh-CN"/>
        </w:rPr>
        <w:t>6.</w:t>
      </w:r>
      <w:r>
        <w:rPr>
          <w:rFonts w:hint="eastAsia" w:ascii="黑体" w:hAnsi="黑体" w:eastAsia="黑体" w:cs="黑体"/>
          <w:b/>
          <w:bCs/>
          <w:color w:val="000000"/>
          <w:sz w:val="24"/>
          <w:szCs w:val="24"/>
        </w:rPr>
        <w:t>冰箱温度监测模块：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无线监测：可将数据通过无线方式发送至实验室监控系统平台；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对监测到的异常数据进行声音报警、电话报警、短信报警、软件界面色块报警；</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传感器探头温度监测参数：</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lang w:eastAsia="en-US"/>
        </w:rPr>
      </w:pPr>
      <w:r>
        <w:rPr>
          <w:rFonts w:hint="eastAsia" w:ascii="宋体" w:hAnsi="宋体" w:eastAsia="宋体" w:cs="宋体"/>
          <w:color w:val="000000"/>
          <w:sz w:val="24"/>
          <w:szCs w:val="24"/>
        </w:rPr>
        <w:t>6.3.1精度：不低于</w:t>
      </w:r>
      <w:r>
        <w:rPr>
          <w:rFonts w:hint="eastAsia" w:ascii="宋体" w:hAnsi="宋体" w:eastAsia="宋体" w:cs="宋体"/>
          <w:color w:val="000000"/>
          <w:sz w:val="24"/>
          <w:szCs w:val="24"/>
          <w:lang w:eastAsia="en-US"/>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en-US"/>
        </w:rPr>
        <w:t>；</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6.3.2分辨率：不低于</w:t>
      </w:r>
      <w:r>
        <w:rPr>
          <w:rFonts w:hint="eastAsia" w:ascii="宋体" w:hAnsi="宋体" w:eastAsia="宋体" w:cs="宋体"/>
          <w:color w:val="000000"/>
          <w:sz w:val="24"/>
          <w:szCs w:val="24"/>
          <w:lang w:eastAsia="en-US"/>
        </w:rPr>
        <w:t>±0.</w:t>
      </w:r>
      <w:r>
        <w:rPr>
          <w:rFonts w:hint="eastAsia" w:ascii="宋体" w:hAnsi="宋体" w:eastAsia="宋体" w:cs="宋体"/>
          <w:color w:val="000000"/>
          <w:sz w:val="24"/>
          <w:szCs w:val="24"/>
        </w:rPr>
        <w:t>01</w:t>
      </w:r>
      <w:r>
        <w:rPr>
          <w:rFonts w:hint="eastAsia" w:ascii="宋体" w:hAnsi="宋体" w:eastAsia="宋体" w:cs="宋体"/>
          <w:color w:val="000000"/>
          <w:sz w:val="24"/>
          <w:szCs w:val="24"/>
          <w:lang w:eastAsia="en-US"/>
        </w:rPr>
        <w:t>%</w:t>
      </w:r>
      <w:r>
        <w:rPr>
          <w:rFonts w:hint="eastAsia" w:ascii="宋体" w:hAnsi="宋体" w:eastAsia="宋体" w:cs="宋体"/>
          <w:color w:val="000000"/>
          <w:sz w:val="24"/>
          <w:szCs w:val="24"/>
        </w:rPr>
        <w:t>；</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6.3.3测量范围：0-40℃ ；</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6.4检测装置内置电池，可使用≥1年；</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6.5配置清单：冰箱监测模块2套；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b/>
          <w:bCs/>
          <w:color w:val="000000"/>
          <w:sz w:val="24"/>
          <w:szCs w:val="24"/>
        </w:rPr>
      </w:pPr>
      <w:r>
        <w:rPr>
          <w:rFonts w:hint="eastAsia" w:ascii="黑体" w:hAnsi="黑体" w:eastAsia="黑体" w:cs="黑体"/>
          <w:b/>
          <w:bCs/>
          <w:color w:val="000000"/>
          <w:sz w:val="24"/>
          <w:szCs w:val="24"/>
        </w:rPr>
        <w:t>7</w:t>
      </w:r>
      <w:r>
        <w:rPr>
          <w:rFonts w:hint="eastAsia" w:ascii="黑体" w:hAnsi="黑体" w:eastAsia="黑体" w:cs="黑体"/>
          <w:b/>
          <w:bCs/>
          <w:color w:val="000000"/>
          <w:sz w:val="24"/>
          <w:szCs w:val="24"/>
          <w:lang w:val="en-US" w:eastAsia="zh-CN"/>
        </w:rPr>
        <w:t>.</w:t>
      </w:r>
      <w:r>
        <w:rPr>
          <w:rFonts w:hint="eastAsia" w:ascii="黑体" w:hAnsi="黑体" w:eastAsia="黑体" w:cs="黑体"/>
          <w:b/>
          <w:bCs/>
          <w:color w:val="000000"/>
          <w:sz w:val="24"/>
          <w:szCs w:val="24"/>
        </w:rPr>
        <w:t>手持式二氧化碳检测仪</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可用于测量二氧化碳培养箱内二氧化碳浓度、氧气浓度和温度，配置彩屏显示，可显示时间、日期、实时浓度值、平均浓度值显示直观。</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检测的数据存储功能和记录参数功能符合GLP和GMP标准，仪器自带存储功能，可进行数据读取并导入电脑。</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检测模式：红外测量技术保证精确的CO2浓度及O2浓度的测定</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具备双光束红外测量技术；</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二氧化碳检测范围：0-20%</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7.5.1精确度:±0.1%;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7.5.2分辨率：0.01%;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温度检测：</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7.6.1测量范围：0-50℃</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7.6.2分辨率±0.1℃</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7.6.3测量精确度：±0.2℃；</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配置清单：手持式二氧化碳检测仪 2套；</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所有模块机表面零涂覆，减少VOC含量对胚胎的影响；</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质保期≥3年，所配置的各类监测模块及设备在质保期内每季度由具备计量监测资质的第三方监测单位进行效准，并出具有效的监测报告；</w:t>
      </w:r>
    </w:p>
    <w:p>
      <w:pPr>
        <w:pageBreakBefore w:val="0"/>
        <w:kinsoku/>
        <w:wordWrap/>
        <w:overflowPunct/>
        <w:topLinePunct w:val="0"/>
        <w:autoSpaceDE/>
        <w:autoSpaceDN/>
        <w:bidi w:val="0"/>
        <w:spacing w:before="218" w:line="360" w:lineRule="auto"/>
        <w:jc w:val="left"/>
        <w:textAlignment w:val="auto"/>
        <w:rPr>
          <w:rFonts w:hint="eastAsia" w:ascii="宋体" w:hAnsi="宋体" w:eastAsia="宋体" w:cs="宋体"/>
          <w:color w:val="00000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b/>
          <w:bCs/>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b/>
          <w:bCs/>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b/>
          <w:bCs/>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b/>
          <w:bCs/>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黑体" w:hAnsi="黑体" w:eastAsia="黑体" w:cs="黑体"/>
          <w:b/>
          <w:bCs/>
          <w:i w:val="0"/>
          <w:caps w:val="0"/>
          <w:color w:val="000000"/>
          <w:spacing w:val="0"/>
          <w:sz w:val="24"/>
          <w:szCs w:val="24"/>
        </w:rPr>
      </w:pPr>
      <w:r>
        <w:rPr>
          <w:rFonts w:hint="eastAsia" w:ascii="黑体" w:hAnsi="黑体" w:eastAsia="黑体" w:cs="黑体"/>
          <w:b/>
          <w:bCs/>
          <w:i w:val="0"/>
          <w:caps w:val="0"/>
          <w:color w:val="000000"/>
          <w:spacing w:val="0"/>
          <w:sz w:val="24"/>
          <w:szCs w:val="24"/>
          <w:lang w:val="en-US" w:eastAsia="zh-CN"/>
        </w:rPr>
        <w:t>三、商务</w:t>
      </w:r>
      <w:r>
        <w:rPr>
          <w:rFonts w:hint="eastAsia" w:ascii="黑体" w:hAnsi="黑体" w:eastAsia="黑体" w:cs="黑体"/>
          <w:b/>
          <w:bCs/>
          <w:i w:val="0"/>
          <w:caps w:val="0"/>
          <w:color w:val="000000"/>
          <w:spacing w:val="0"/>
          <w:sz w:val="24"/>
          <w:szCs w:val="24"/>
        </w:rPr>
        <w:t>要求</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1.付款方式和条件：</w:t>
      </w:r>
    </w:p>
    <w:p>
      <w:pPr>
        <w:pStyle w:val="5"/>
        <w:keepNext w:val="0"/>
        <w:keepLines w:val="0"/>
        <w:pageBreakBefore w:val="0"/>
        <w:widowControl/>
        <w:suppressLineNumbers w:val="0"/>
        <w:kinsoku/>
        <w:wordWrap/>
        <w:overflowPunct/>
        <w:topLinePunct w:val="0"/>
        <w:autoSpaceDE/>
        <w:autoSpaceDN/>
        <w:bidi w:val="0"/>
        <w:spacing w:line="360" w:lineRule="auto"/>
        <w:ind w:left="0" w:firstLine="48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全部货物安装调试完毕并最终验收合格后，采购人收到中标人提交完备票据凭证资料后60日内支付90%货款，剩余10%货款在货物验收结束2年后在无产品质量和售后服务问题前提下进行支付。</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1.（1）</w:t>
      </w:r>
      <w:r>
        <w:rPr>
          <w:rFonts w:hint="eastAsia" w:ascii="宋体" w:hAnsi="宋体" w:eastAsia="宋体" w:cs="宋体"/>
          <w:i w:val="0"/>
          <w:caps w:val="0"/>
          <w:color w:val="000000"/>
          <w:spacing w:val="0"/>
          <w:sz w:val="24"/>
          <w:szCs w:val="24"/>
        </w:rPr>
        <w:t>手持式二氧化碳检测仪</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数量2，最高限价10万元；</w:t>
      </w:r>
      <w:r>
        <w:rPr>
          <w:rFonts w:hint="eastAsia" w:ascii="宋体" w:hAnsi="宋体" w:eastAsia="宋体" w:cs="宋体"/>
          <w:i w:val="0"/>
          <w:caps w:val="0"/>
          <w:color w:val="000000"/>
          <w:spacing w:val="0"/>
          <w:sz w:val="24"/>
          <w:szCs w:val="24"/>
        </w:rPr>
        <w:t>液氮和二氧化碳监测系统</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数量1，最高限价38万元。</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*2.交货期及地点：</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交货期：合同签订生效后，收到采购人通知后30日内完成安装调试并交付采购人验收。</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交货地点: 采购人指定地点。</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3.安装调试及验收：</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中标人及制造厂家负责货物安装、调试。</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货物安装调试完毕后，中标人应对采购人操作人员进行现场培训，直至采购人的技术人员能独立操作，同时能完成一般常见故障的维修工作。</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完成中标产品所有安装、调试、培训后，采购人组织项目验收，验收标准以招标文件或中标方投标文件和相关行业标准为准。</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4.售后服务：</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质保期：验收合格后3年（含整机所有部件）。</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中标人或制造厂家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如质保期内货物经中标人两次维修仍不能达到国家相关质量标准，采购人有权要求中标人无条件更换全新货物、退货，并追究中标人违约责任。</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如货物涉及软件升级，中标人承诺为采购人免费提供软件升级服务（提供书面承诺函加盖投标人公章）。</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中标人应承诺保证设备停产后至少5年的零配件供应（提供书面承诺函加盖投标人公章）。</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投标人提供售后服务方案，包含：①质量保障措施；②技术支持；③应急方案；④服务响应。</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7</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投标人提供与投标产品相关的①技术培训服务能力；②详细的服务培训计划；③提供维修人员的相关专业证书；④维修人员的在职证明。</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备注: 所有条款为本次招标项目的实质性要求，不允许有负偏离。</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i w:val="0"/>
          <w:caps w:val="0"/>
          <w:color w:val="000000"/>
          <w:spacing w:val="0"/>
          <w:sz w:val="24"/>
          <w:szCs w:val="24"/>
          <w:lang w:val="en-US" w:eastAsia="zh-CN"/>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i w:val="0"/>
          <w:caps w:val="0"/>
          <w:color w:val="000000"/>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i w:val="0"/>
          <w:caps w:val="0"/>
          <w:color w:val="000000"/>
          <w:spacing w:val="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000000"/>
          <w:kern w:val="0"/>
          <w:sz w:val="24"/>
          <w:szCs w:val="24"/>
        </w:rPr>
      </w:pP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000000"/>
          <w:kern w:val="0"/>
          <w:sz w:val="24"/>
          <w:szCs w:val="24"/>
        </w:rPr>
      </w:pP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000000"/>
          <w:kern w:val="0"/>
          <w:sz w:val="24"/>
          <w:szCs w:val="24"/>
        </w:rPr>
      </w:pPr>
    </w:p>
    <w:p>
      <w:pPr>
        <w:pStyle w:val="5"/>
        <w:keepNext w:val="0"/>
        <w:keepLines w:val="0"/>
        <w:widowControl/>
        <w:suppressLineNumbers w:val="0"/>
        <w:ind w:left="0" w:firstLine="0"/>
        <w:jc w:val="both"/>
        <w:rPr>
          <w:rFonts w:hint="eastAsia" w:ascii="黑体" w:hAnsi="黑体" w:eastAsia="黑体" w:cs="黑体"/>
          <w:b/>
          <w:bCs/>
          <w:i w:val="0"/>
          <w:caps w:val="0"/>
          <w:color w:val="000000"/>
          <w:spacing w:val="0"/>
          <w:sz w:val="32"/>
          <w:szCs w:val="32"/>
          <w:lang w:val="en-US" w:eastAsia="zh-CN"/>
        </w:rPr>
      </w:pPr>
      <w:r>
        <w:rPr>
          <w:rFonts w:hint="eastAsia" w:ascii="黑体" w:hAnsi="黑体" w:eastAsia="黑体" w:cs="黑体"/>
          <w:b/>
          <w:bCs/>
          <w:i w:val="0"/>
          <w:caps w:val="0"/>
          <w:color w:val="000000"/>
          <w:spacing w:val="0"/>
          <w:sz w:val="32"/>
          <w:szCs w:val="32"/>
        </w:rPr>
        <w:t>附件</w:t>
      </w:r>
      <w:r>
        <w:rPr>
          <w:rFonts w:hint="eastAsia" w:ascii="黑体" w:hAnsi="黑体" w:eastAsia="黑体" w:cs="黑体"/>
          <w:b/>
          <w:bCs/>
          <w:i w:val="0"/>
          <w:caps w:val="0"/>
          <w:color w:val="000000"/>
          <w:spacing w:val="0"/>
          <w:sz w:val="32"/>
          <w:szCs w:val="32"/>
          <w:lang w:val="en-US" w:eastAsia="zh-CN"/>
        </w:rPr>
        <w:t>2 主要表格格式</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ageBreakBefore w:val="0"/>
        <w:kinsoku/>
        <w:wordWrap/>
        <w:overflowPunct/>
        <w:topLinePunct w:val="0"/>
        <w:autoSpaceDE/>
        <w:autoSpaceDN/>
        <w:bidi w:val="0"/>
        <w:spacing w:line="360" w:lineRule="auto"/>
        <w:ind w:right="480"/>
        <w:jc w:val="center"/>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法定代表人授权书</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Style w:val="4"/>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4"/>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360" w:lineRule="auto"/>
        <w:ind w:firstLine="470" w:firstLineChars="196"/>
        <w:textAlignment w:val="auto"/>
        <w:outlineLvl w:val="1"/>
        <w:rPr>
          <w:rFonts w:hint="eastAsia" w:ascii="宋体" w:hAnsi="宋体" w:eastAsia="宋体" w:cs="宋体"/>
          <w:sz w:val="24"/>
          <w:szCs w:val="24"/>
        </w:rPr>
      </w:pPr>
      <w:r>
        <w:rPr>
          <w:rFonts w:hint="eastAsia" w:ascii="宋体" w:hAnsi="宋体" w:eastAsia="宋体" w:cs="宋体"/>
          <w:sz w:val="24"/>
          <w:szCs w:val="24"/>
        </w:rPr>
        <w:t>法定代表人签字或盖法定代表人名章：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授权代表人（签字）：</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供应商名称：         （盖单位公章）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日    期：</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Cs/>
          <w:sz w:val="24"/>
          <w:szCs w:val="24"/>
        </w:rPr>
      </w:pPr>
      <w:r>
        <w:rPr>
          <w:rFonts w:hint="eastAsia" w:ascii="宋体" w:hAnsi="宋体" w:eastAsia="宋体" w:cs="宋体"/>
          <w:bCs/>
          <w:sz w:val="24"/>
          <w:szCs w:val="24"/>
        </w:rPr>
        <w:t>注：（1）法定代表人不参与磋商而委托代理人磋商适用。</w:t>
      </w:r>
    </w:p>
    <w:p>
      <w:pPr>
        <w:pageBreakBefore w:val="0"/>
        <w:kinsoku/>
        <w:wordWrap/>
        <w:overflowPunct/>
        <w:topLinePunct w:val="0"/>
        <w:autoSpaceDE/>
        <w:autoSpaceDN/>
        <w:bidi w:val="0"/>
        <w:spacing w:line="360" w:lineRule="auto"/>
        <w:ind w:firstLine="360" w:firstLineChars="150"/>
        <w:textAlignment w:val="auto"/>
        <w:outlineLvl w:val="5"/>
        <w:rPr>
          <w:rFonts w:hint="eastAsia" w:ascii="宋体" w:hAnsi="宋体" w:eastAsia="宋体" w:cs="宋体"/>
          <w:bCs/>
          <w:sz w:val="24"/>
          <w:szCs w:val="24"/>
        </w:rPr>
      </w:pPr>
      <w:r>
        <w:rPr>
          <w:rFonts w:hint="eastAsia" w:ascii="宋体" w:hAnsi="宋体" w:eastAsia="宋体" w:cs="宋体"/>
          <w:bCs/>
          <w:sz w:val="24"/>
          <w:szCs w:val="24"/>
        </w:rPr>
        <w:t xml:space="preserve"> （2）附法定代表人、授权代表身份证复印件（</w:t>
      </w:r>
      <w:r>
        <w:rPr>
          <w:rFonts w:hint="eastAsia" w:ascii="宋体" w:hAnsi="宋体" w:eastAsia="宋体" w:cs="宋体"/>
          <w:sz w:val="24"/>
          <w:szCs w:val="24"/>
        </w:rPr>
        <w:t>提供其在有效期的材料，居民身份证正、反面复印件</w:t>
      </w:r>
      <w:r>
        <w:rPr>
          <w:rFonts w:hint="eastAsia" w:ascii="宋体" w:hAnsi="宋体" w:eastAsia="宋体" w:cs="宋体"/>
          <w:bCs/>
          <w:sz w:val="24"/>
          <w:szCs w:val="24"/>
        </w:rPr>
        <w:t>）加盖供应商公章。</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2"/>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××××项目</w:t>
      </w:r>
    </w:p>
    <w:p>
      <w:pPr>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报价一览表</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单价（万元）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金额（万元）</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合计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pPr>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注：1.报价应是最终用户验收合格后的总价，税费、采购文件规定的其它费用。</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2.“报价一览表”为多页的，每页均需由法定代表人或授权代表签字并盖投标人印章。</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3.“报价一览表”需单独密封。</w:t>
      </w:r>
    </w:p>
    <w:p>
      <w:pPr>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供应商名称（盖章）：        </w:t>
      </w:r>
    </w:p>
    <w:p>
      <w:pPr>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r>
        <w:rPr>
          <w:rFonts w:hint="eastAsia" w:ascii="宋体" w:hAnsi="宋体" w:eastAsia="宋体" w:cs="宋体"/>
          <w:bCs/>
          <w:sz w:val="24"/>
          <w:szCs w:val="24"/>
        </w:rPr>
        <w:t>联系方式：</w:t>
      </w:r>
      <w:r>
        <w:rPr>
          <w:rFonts w:hint="eastAsia" w:ascii="宋体" w:hAnsi="宋体" w:eastAsia="宋体" w:cs="宋体"/>
          <w:bCs/>
          <w:sz w:val="24"/>
          <w:szCs w:val="24"/>
          <w:u w:val="single"/>
        </w:rPr>
        <w:t xml:space="preserve">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sz w:val="24"/>
          <w:szCs w:val="24"/>
        </w:rPr>
        <w:t>日期：</w:t>
      </w: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Style w:val="3"/>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lang w:val="en-US" w:eastAsia="zh-CN"/>
        </w:rPr>
      </w:pPr>
    </w:p>
    <w:p>
      <w:pPr>
        <w:pStyle w:val="3"/>
        <w:pageBreakBefore w:val="0"/>
        <w:kinsoku/>
        <w:wordWrap/>
        <w:overflowPunct/>
        <w:topLinePunct w:val="0"/>
        <w:autoSpaceDE/>
        <w:autoSpaceDN/>
        <w:bidi w:val="0"/>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无围标、串标行为承诺书</w:t>
      </w:r>
    </w:p>
    <w:p>
      <w:pPr>
        <w:rPr>
          <w:rFonts w:hint="eastAsia"/>
          <w:lang w:val="en-US" w:eastAsia="zh-CN"/>
        </w:rPr>
      </w:pPr>
    </w:p>
    <w:p>
      <w:pPr>
        <w:pageBreakBefore w:val="0"/>
        <w:kinsoku/>
        <w:wordWrap/>
        <w:overflowPunct/>
        <w:topLinePunct w:val="0"/>
        <w:autoSpaceDE/>
        <w:autoSpaceDN/>
        <w:bidi w:val="0"/>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5"/>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黑体" w:hAnsi="黑体" w:eastAsia="黑体" w:cs="黑体"/>
          <w:b/>
          <w:bCs/>
          <w:i w:val="0"/>
          <w:caps w:val="0"/>
          <w:color w:val="000000"/>
          <w:spacing w:val="0"/>
          <w:kern w:val="0"/>
          <w:sz w:val="32"/>
          <w:szCs w:val="32"/>
          <w:lang w:val="en-US" w:eastAsia="zh-CN" w:bidi="ar"/>
        </w:rPr>
        <w:t>附件3 采购投标文件装订顺序</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pageBreakBefore w:val="0"/>
        <w:numPr>
          <w:ilvl w:val="0"/>
          <w:numId w:val="1"/>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pageBreakBefore w:val="0"/>
        <w:numPr>
          <w:ilvl w:val="0"/>
          <w:numId w:val="1"/>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企业营业执照（复印件）；</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供应商资质；</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.禁止围标、串标情况承诺函；</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pageBreakBefore w:val="0"/>
        <w:numPr>
          <w:ilvl w:val="0"/>
          <w:numId w:val="1"/>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10.投标人认为需要提供的其它文件</w:t>
      </w:r>
    </w:p>
    <w:p>
      <w:pPr>
        <w:pageBreakBefore w:val="0"/>
        <w:numPr>
          <w:ilvl w:val="0"/>
          <w:numId w:val="1"/>
        </w:numPr>
        <w:tabs>
          <w:tab w:val="left" w:pos="0"/>
        </w:tabs>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r>
        <w:rPr>
          <w:rFonts w:hint="eastAsia" w:ascii="黑体" w:hAnsi="黑体" w:eastAsia="黑体" w:cs="黑体"/>
          <w:b/>
          <w:bCs/>
          <w:i w:val="0"/>
          <w:caps w:val="0"/>
          <w:color w:val="000000"/>
          <w:spacing w:val="0"/>
          <w:kern w:val="0"/>
          <w:sz w:val="32"/>
          <w:szCs w:val="32"/>
          <w:lang w:val="en-US" w:eastAsia="zh-CN" w:bidi="ar"/>
        </w:rPr>
        <w:t>附件4 反商业贿赂承诺书</w:t>
      </w:r>
    </w:p>
    <w:p>
      <w:pPr>
        <w:pStyle w:val="2"/>
        <w:rPr>
          <w:rFonts w:hint="eastAsia"/>
        </w:rPr>
      </w:pPr>
    </w:p>
    <w:p>
      <w:pPr>
        <w:pageBreakBefore w:val="0"/>
        <w:tabs>
          <w:tab w:val="left" w:pos="6645"/>
        </w:tabs>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反商业贿赂承诺书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不与其他投标人相互串通投标报价，损害贵院的合法权益；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不与招标人串通投标，损害国家利益、社会公共利益或他人的合法权益；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不以向招标人或者评标委员会成员行贿的手段谋取中标；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竞标报价不违反相关法律的规定，也不以他人名义投标或者以其他方式弄虚作假，骗取中标；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保证不以其他任何方式扰乱贵院的招标工作；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保证不在药品销售、医疗器械、设备、物资、基建工程竞标中采取账外暗中给予回扣的手段腐蚀、贿赂医护、药剂人员、干部等其他相关人员；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保证不让贵院临床科室、药剂部门以及有关人员登记、统计医生处方或为此提供方便，干扰贵院的正常工作秩序；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保证不以其他任何不正当竞争手段推销药品、医疗器械、设备、物资。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五、对本厂家、商家、公司及本厂家、商家、公司工作人员采取以上手段竞标、促销等，干扰贵院正常工作秩序，损害贵院形象的，本厂家、商家、公司保证：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对尚处在竞标阶段的，贵院有权取消本厂家、商家、公司的竞标资格；已经中标的，贵院有权取消中标；对已经获得准入资格的，贵院有权随时取消本厂家、商家、公司的准入资格；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对本厂家、商家、公司相关工作人员做出严肃处理；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对由于本厂家、商家、公司或本厂家、商家、公司工作人员的上述行为给贵院造成经济或名誉损失的，由本厂家、商家、公司负责，并愿意承担全部民事赔偿责任。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六、采购物资名称：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w:t>
      </w:r>
      <w:r>
        <w:rPr>
          <w:rFonts w:hint="eastAsia" w:ascii="宋体" w:hAnsi="宋体" w:eastAsia="宋体" w:cs="宋体"/>
          <w:sz w:val="24"/>
          <w:szCs w:val="24"/>
          <w:lang w:val="en-US" w:eastAsia="zh-CN"/>
        </w:rPr>
        <w:t>贰</w:t>
      </w:r>
      <w:r>
        <w:rPr>
          <w:rFonts w:hint="eastAsia" w:ascii="宋体" w:hAnsi="宋体" w:eastAsia="宋体" w:cs="宋体"/>
          <w:sz w:val="24"/>
          <w:szCs w:val="24"/>
        </w:rPr>
        <w:t>份（一份由承诺人自存；一份随竞价书传递）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w:t>
      </w:r>
      <w:bookmarkStart w:id="0" w:name="_GoBack"/>
      <w:bookmarkEnd w:id="0"/>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法人代表或委托代理人（承诺人）</w:t>
      </w:r>
    </w:p>
    <w:p>
      <w:pPr>
        <w:pStyle w:val="5"/>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pPr>
        <w:pStyle w:val="5"/>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pPr>
        <w:pStyle w:val="5"/>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pPr>
        <w:pStyle w:val="5"/>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pPr>
        <w:pStyle w:val="5"/>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pPr>
        <w:pStyle w:val="5"/>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pPr>
        <w:jc w:val="both"/>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B4D3F1-C82E-4770-ADBD-BF60DB2697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7385B66"/>
    <w:rsid w:val="0B2962B3"/>
    <w:rsid w:val="18565A58"/>
    <w:rsid w:val="1DA860E9"/>
    <w:rsid w:val="259A5B3F"/>
    <w:rsid w:val="298C53B7"/>
    <w:rsid w:val="30B8257C"/>
    <w:rsid w:val="36104FF7"/>
    <w:rsid w:val="37956837"/>
    <w:rsid w:val="39DA4378"/>
    <w:rsid w:val="3A385CE6"/>
    <w:rsid w:val="3CF10D38"/>
    <w:rsid w:val="3F9D7511"/>
    <w:rsid w:val="42B62365"/>
    <w:rsid w:val="444D45C1"/>
    <w:rsid w:val="46864206"/>
    <w:rsid w:val="4BF56DAC"/>
    <w:rsid w:val="4F9F42B5"/>
    <w:rsid w:val="515F23B0"/>
    <w:rsid w:val="5BCF128F"/>
    <w:rsid w:val="5CB05C6E"/>
    <w:rsid w:val="5D8B3B05"/>
    <w:rsid w:val="5DB004C1"/>
    <w:rsid w:val="5F8477E4"/>
    <w:rsid w:val="625A33E9"/>
    <w:rsid w:val="6C06756A"/>
    <w:rsid w:val="6D2C7F78"/>
    <w:rsid w:val="6D997C0D"/>
    <w:rsid w:val="7687022A"/>
    <w:rsid w:val="76936197"/>
    <w:rsid w:val="77BF5E69"/>
    <w:rsid w:val="79F002A2"/>
    <w:rsid w:val="79FE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仿宋_GB2312"/>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Plain Text"/>
    <w:basedOn w:val="1"/>
    <w:qFormat/>
    <w:uiPriority w:val="0"/>
    <w:rPr>
      <w:rFonts w:hint="eastAsia" w:ascii="宋体" w:hAnsi="Courier New"/>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4996</Words>
  <Characters>5345</Characters>
  <Lines>0</Lines>
  <Paragraphs>0</Paragraphs>
  <TotalTime>9</TotalTime>
  <ScaleCrop>false</ScaleCrop>
  <LinksUpToDate>false</LinksUpToDate>
  <CharactersWithSpaces>5510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罗珊珊</cp:lastModifiedBy>
  <dcterms:modified xsi:type="dcterms:W3CDTF">2022-08-24T10:00:45Z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8F23B59CAE2040338F747B7612812310</vt:lpwstr>
  </property>
</Properties>
</file>