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left"/>
        <w:rPr>
          <w:rFonts w:hint="default" w:ascii="方正小标宋简体" w:eastAsia="方正小标宋简体"/>
          <w:sz w:val="28"/>
          <w:szCs w:val="28"/>
          <w:lang w:val="en-US" w:eastAsia="zh-CN"/>
        </w:rPr>
      </w:pPr>
      <w:bookmarkStart w:id="0" w:name="_Hlk484384217"/>
      <w:r>
        <w:rPr>
          <w:rFonts w:hint="eastAsia" w:ascii="黑体" w:hAnsi="黑体" w:eastAsia="黑体" w:cs="黑体"/>
          <w:sz w:val="32"/>
          <w:szCs w:val="32"/>
          <w:lang w:val="en-US" w:eastAsia="zh-CN"/>
        </w:rPr>
        <w:t>附件一 采购需求</w:t>
      </w:r>
    </w:p>
    <w:bookmarkEnd w:id="0"/>
    <w:p>
      <w:pPr>
        <w:spacing w:line="440" w:lineRule="exact"/>
        <w:ind w:firstLine="487" w:firstLineChars="202"/>
        <w:rPr>
          <w:rFonts w:hint="eastAsia" w:ascii="仿宋_GB2312" w:eastAsia="仿宋_GB2312"/>
          <w:b/>
          <w:sz w:val="24"/>
        </w:rPr>
      </w:pPr>
      <w:bookmarkStart w:id="1" w:name="_Hlk524443917"/>
      <w:bookmarkStart w:id="2" w:name="_Hlk524443910"/>
    </w:p>
    <w:p>
      <w:pPr>
        <w:spacing w:line="440" w:lineRule="exact"/>
        <w:ind w:firstLine="487" w:firstLineChars="202"/>
        <w:rPr>
          <w:rFonts w:hint="eastAsia" w:ascii="黑体" w:hAnsi="黑体" w:eastAsia="黑体" w:cs="黑体"/>
          <w:b/>
          <w:sz w:val="24"/>
          <w:szCs w:val="24"/>
        </w:rPr>
      </w:pPr>
      <w:r>
        <w:rPr>
          <w:rFonts w:hint="eastAsia" w:ascii="黑体" w:hAnsi="黑体" w:eastAsia="黑体" w:cs="黑体"/>
          <w:b/>
          <w:sz w:val="24"/>
          <w:szCs w:val="24"/>
        </w:rPr>
        <w:t>一、项目概况</w:t>
      </w:r>
    </w:p>
    <w:p>
      <w:pPr>
        <w:keepNext w:val="0"/>
        <w:keepLines w:val="0"/>
        <w:pageBreakBefore w:val="0"/>
        <w:kinsoku/>
        <w:wordWrap/>
        <w:overflowPunct/>
        <w:topLinePunct w:val="0"/>
        <w:autoSpaceDE/>
        <w:autoSpaceDN/>
        <w:bidi w:val="0"/>
        <w:adjustRightInd/>
        <w:spacing w:line="360" w:lineRule="auto"/>
        <w:ind w:firstLine="484" w:firstLineChars="202"/>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项目名称：四川省妇幼保健院</w:t>
      </w:r>
      <w:r>
        <w:rPr>
          <w:rFonts w:hint="eastAsia" w:ascii="宋体" w:hAnsi="宋体" w:eastAsia="宋体" w:cs="宋体"/>
          <w:b w:val="0"/>
          <w:bCs w:val="0"/>
          <w:color w:val="000000"/>
          <w:sz w:val="24"/>
          <w:szCs w:val="24"/>
          <w:lang w:val="en-US" w:eastAsia="zh-CN"/>
        </w:rPr>
        <w:t>医护人员工作服、护士鞋、窗帘（围帘）和新生儿甲衣</w:t>
      </w:r>
      <w:r>
        <w:rPr>
          <w:rFonts w:hint="eastAsia" w:ascii="宋体" w:hAnsi="宋体" w:eastAsia="宋体" w:cs="宋体"/>
          <w:b w:val="0"/>
          <w:bCs w:val="0"/>
          <w:sz w:val="24"/>
          <w:szCs w:val="24"/>
        </w:rPr>
        <w:t>项目</w:t>
      </w:r>
    </w:p>
    <w:p>
      <w:pPr>
        <w:keepNext w:val="0"/>
        <w:keepLines w:val="0"/>
        <w:pageBreakBefore w:val="0"/>
        <w:kinsoku/>
        <w:wordWrap/>
        <w:overflowPunct/>
        <w:topLinePunct w:val="0"/>
        <w:autoSpaceDE/>
        <w:autoSpaceDN/>
        <w:bidi w:val="0"/>
        <w:adjustRightInd/>
        <w:spacing w:line="360" w:lineRule="auto"/>
        <w:ind w:firstLine="484" w:firstLineChars="202"/>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医院位置：成都市武侯区沙堰西二街290号</w:t>
      </w:r>
    </w:p>
    <w:p>
      <w:pPr>
        <w:keepNext w:val="0"/>
        <w:keepLines w:val="0"/>
        <w:pageBreakBefore w:val="0"/>
        <w:kinsoku/>
        <w:wordWrap/>
        <w:overflowPunct/>
        <w:topLinePunct w:val="0"/>
        <w:autoSpaceDE/>
        <w:autoSpaceDN/>
        <w:bidi w:val="0"/>
        <w:adjustRightInd/>
        <w:spacing w:line="360" w:lineRule="auto"/>
        <w:ind w:firstLine="484" w:firstLineChars="20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eastAsia="zh-CN"/>
        </w:rPr>
        <w:t>招标内容：</w:t>
      </w:r>
    </w:p>
    <w:p>
      <w:pPr>
        <w:keepNext w:val="0"/>
        <w:keepLines w:val="0"/>
        <w:pageBreakBefore w:val="0"/>
        <w:kinsoku/>
        <w:wordWrap/>
        <w:overflowPunct/>
        <w:topLinePunct w:val="0"/>
        <w:autoSpaceDE/>
        <w:autoSpaceDN/>
        <w:bidi w:val="0"/>
        <w:adjustRightInd/>
        <w:spacing w:line="360" w:lineRule="auto"/>
        <w:ind w:firstLine="484" w:firstLineChars="20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护士服（冬、夏）、护士鞋（四季鞋）、医生服（冬、夏）、手术帽、护士毛衣、新生儿</w:t>
      </w:r>
      <w:r>
        <w:rPr>
          <w:rFonts w:hint="eastAsia" w:ascii="宋体" w:hAnsi="宋体" w:eastAsia="宋体" w:cs="宋体"/>
          <w:b w:val="0"/>
          <w:bCs w:val="0"/>
          <w:sz w:val="24"/>
          <w:szCs w:val="24"/>
          <w:lang w:val="en-US" w:eastAsia="zh-CN"/>
        </w:rPr>
        <w:t>夹衣</w:t>
      </w:r>
      <w:r>
        <w:rPr>
          <w:rFonts w:hint="eastAsia" w:ascii="宋体" w:hAnsi="宋体" w:eastAsia="宋体" w:cs="宋体"/>
          <w:b w:val="0"/>
          <w:bCs w:val="0"/>
          <w:sz w:val="24"/>
          <w:szCs w:val="24"/>
          <w:lang w:eastAsia="zh-CN"/>
        </w:rPr>
        <w:t>、孕妇装（冬、夏）、</w:t>
      </w:r>
      <w:r>
        <w:rPr>
          <w:rFonts w:hint="eastAsia" w:ascii="宋体" w:hAnsi="宋体" w:eastAsia="宋体" w:cs="宋体"/>
          <w:b w:val="0"/>
          <w:bCs w:val="0"/>
          <w:sz w:val="24"/>
          <w:szCs w:val="24"/>
          <w:lang w:val="en-US" w:eastAsia="zh-CN"/>
        </w:rPr>
        <w:t>护士鞋</w:t>
      </w:r>
      <w:r>
        <w:rPr>
          <w:rFonts w:hint="eastAsia" w:ascii="宋体" w:hAnsi="宋体" w:eastAsia="宋体" w:cs="宋体"/>
          <w:b w:val="0"/>
          <w:bCs w:val="0"/>
          <w:sz w:val="24"/>
          <w:szCs w:val="24"/>
          <w:lang w:eastAsia="zh-CN"/>
        </w:rPr>
        <w:t>。</w:t>
      </w:r>
    </w:p>
    <w:p>
      <w:pPr>
        <w:spacing w:line="440" w:lineRule="exact"/>
        <w:ind w:firstLine="487" w:firstLineChars="202"/>
        <w:rPr>
          <w:rFonts w:hint="eastAsia" w:ascii="黑体" w:hAnsi="黑体" w:eastAsia="黑体" w:cs="黑体"/>
          <w:b/>
          <w:sz w:val="24"/>
          <w:szCs w:val="24"/>
          <w:lang w:val="en-US" w:eastAsia="zh-CN"/>
        </w:rPr>
      </w:pPr>
      <w:r>
        <w:rPr>
          <w:rFonts w:hint="eastAsia" w:ascii="黑体" w:hAnsi="黑体" w:eastAsia="黑体" w:cs="黑体"/>
          <w:b/>
          <w:sz w:val="24"/>
          <w:szCs w:val="24"/>
          <w:lang w:val="en-US" w:eastAsia="zh-CN"/>
        </w:rPr>
        <w:t>二、项目要求</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本项目每年最高限价：¥450000.00元，报价包含人工费、材料费、运输费、安装费、版权使用费等所有含税费用。本项目采购总金额为暂定金额，具体金额以采购人下单为准。采购人有权根据实际情况对所需品种及数量进行调整。</w:t>
      </w:r>
    </w:p>
    <w:p>
      <w:pPr>
        <w:keepNext w:val="0"/>
        <w:keepLines w:val="0"/>
        <w:pageBreakBefore w:val="0"/>
        <w:kinsoku/>
        <w:wordWrap/>
        <w:overflowPunct/>
        <w:topLinePunct w:val="0"/>
        <w:autoSpaceDE/>
        <w:autoSpaceDN/>
        <w:bidi w:val="0"/>
        <w:adjustRightInd/>
        <w:spacing w:line="360" w:lineRule="auto"/>
        <w:ind w:firstLine="484" w:firstLineChars="202"/>
        <w:rPr>
          <w:rFonts w:hint="eastAsia" w:ascii="宋体" w:hAnsi="宋体" w:eastAsia="宋体" w:cs="宋体"/>
          <w:b w:val="0"/>
          <w:bCs w:val="0"/>
          <w:sz w:val="24"/>
          <w:szCs w:val="24"/>
        </w:rPr>
      </w:pPr>
      <w:r>
        <w:rPr>
          <w:rFonts w:hint="eastAsia" w:ascii="宋体" w:hAnsi="宋体" w:eastAsia="宋体" w:cs="宋体"/>
          <w:b w:val="0"/>
          <w:bCs w:val="0"/>
          <w:sz w:val="24"/>
          <w:szCs w:val="24"/>
        </w:rPr>
        <w:t>第一批制作工作服合同签订生效之日起60个工作日内交付采购人。（如遇特殊情况，在经采购人同意的情况下可适当延期）。</w:t>
      </w:r>
    </w:p>
    <w:p>
      <w:pPr>
        <w:spacing w:line="440" w:lineRule="exact"/>
        <w:rPr>
          <w:rFonts w:hint="eastAsia" w:ascii="黑体" w:hAnsi="黑体" w:eastAsia="黑体" w:cs="黑体"/>
          <w:b/>
          <w:sz w:val="24"/>
          <w:szCs w:val="24"/>
          <w:lang w:val="en-US" w:eastAsia="zh-CN"/>
        </w:rPr>
      </w:pPr>
    </w:p>
    <w:bookmarkEnd w:id="1"/>
    <w:bookmarkEnd w:id="2"/>
    <w:p>
      <w:pPr>
        <w:spacing w:line="440" w:lineRule="exact"/>
        <w:ind w:firstLine="487" w:firstLineChars="202"/>
        <w:rPr>
          <w:rFonts w:hint="eastAsia" w:ascii="黑体" w:hAnsi="黑体" w:eastAsia="黑体" w:cs="黑体"/>
          <w:b/>
          <w:sz w:val="24"/>
          <w:szCs w:val="24"/>
          <w:lang w:val="en-US" w:eastAsia="zh-CN"/>
        </w:rPr>
      </w:pPr>
      <w:bookmarkStart w:id="3" w:name="_Toc288"/>
      <w:bookmarkStart w:id="4" w:name="_Toc30521"/>
      <w:bookmarkStart w:id="5" w:name="_Toc185047515"/>
      <w:bookmarkStart w:id="6" w:name="_Toc14289"/>
      <w:r>
        <w:rPr>
          <w:rFonts w:hint="eastAsia" w:ascii="黑体" w:hAnsi="黑体" w:eastAsia="黑体" w:cs="黑体"/>
          <w:b/>
          <w:sz w:val="24"/>
          <w:szCs w:val="24"/>
          <w:lang w:val="en-US" w:eastAsia="zh-CN"/>
        </w:rPr>
        <w:t>三、采购类别和工作服综合单价最高限价需求明细</w:t>
      </w:r>
    </w:p>
    <w:tbl>
      <w:tblPr>
        <w:tblStyle w:val="11"/>
        <w:tblpPr w:leftFromText="180" w:rightFromText="180" w:vertAnchor="text" w:horzAnchor="page" w:tblpX="1438" w:tblpY="464"/>
        <w:tblOverlap w:val="never"/>
        <w:tblW w:w="90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7"/>
        <w:gridCol w:w="1343"/>
        <w:gridCol w:w="1087"/>
        <w:gridCol w:w="713"/>
        <w:gridCol w:w="1312"/>
        <w:gridCol w:w="1438"/>
        <w:gridCol w:w="2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类别</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品名</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规格</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最高限价（元/每件、套）</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配置</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2"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r>
              <w:rPr>
                <w:rFonts w:hint="eastAsia" w:ascii="宋体" w:hAnsi="宋体" w:eastAsia="宋体" w:cs="宋体"/>
                <w:sz w:val="24"/>
                <w:szCs w:val="24"/>
                <w:lang w:val="en-US" w:eastAsia="zh-CN"/>
              </w:rPr>
              <w:t>医生</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医生服冬装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138.00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长袖长装</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医生服夏装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128.00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短袖长装</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医生服孕妇冬装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138.00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长袖长装</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医生服孕妇夏装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128.00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短袖长装</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r>
              <w:rPr>
                <w:rFonts w:hint="eastAsia" w:ascii="宋体" w:hAnsi="宋体" w:eastAsia="宋体" w:cs="宋体"/>
                <w:sz w:val="24"/>
                <w:szCs w:val="24"/>
                <w:lang w:val="en-US" w:eastAsia="zh-CN"/>
              </w:rPr>
              <w:t>护士</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护士服冬装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160.00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长袖短装+裤子</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100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护士服夏装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145.00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短袖短装+裤子</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护士孕妇冬装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160.00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长袖长装+裤子</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护士孕妇夏装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145.00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短袖长装+裤子</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r>
              <w:rPr>
                <w:rFonts w:hint="eastAsia" w:ascii="宋体" w:hAnsi="宋体" w:eastAsia="宋体" w:cs="宋体"/>
                <w:sz w:val="24"/>
                <w:szCs w:val="24"/>
                <w:lang w:val="en-US" w:eastAsia="zh-CN"/>
              </w:rPr>
              <w:t>儿保</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儿保冬装套装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150.00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长袖短装+裤子</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儿保夏装套装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140.00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短袖短装+裤子</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r>
              <w:rPr>
                <w:rFonts w:hint="eastAsia" w:ascii="宋体" w:hAnsi="宋体" w:eastAsia="宋体" w:cs="宋体"/>
                <w:sz w:val="24"/>
                <w:szCs w:val="24"/>
                <w:lang w:val="en-US" w:eastAsia="zh-CN"/>
              </w:rPr>
              <w:t>毛衣</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开衫毛衣</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S-5XL</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122.00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长袖短装+裤子</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r>
              <w:rPr>
                <w:rFonts w:hint="eastAsia" w:ascii="宋体" w:hAnsi="宋体" w:eastAsia="宋体" w:cs="宋体"/>
                <w:sz w:val="24"/>
                <w:szCs w:val="24"/>
                <w:lang w:val="en-US" w:eastAsia="zh-CN"/>
              </w:rPr>
              <w:t>新生儿</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新生儿夹衣</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根据需求进行</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50.00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短袖短装+裤子</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r>
              <w:rPr>
                <w:rFonts w:hint="eastAsia" w:ascii="宋体" w:hAnsi="宋体" w:eastAsia="宋体" w:cs="宋体"/>
                <w:sz w:val="24"/>
                <w:szCs w:val="24"/>
                <w:lang w:val="en-US" w:eastAsia="zh-CN"/>
              </w:rPr>
              <w:t>体检中心</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体检职业装冬装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量身定制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258.00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根据需求设计</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firstLine="484" w:firstLineChars="202"/>
              <w:rPr>
                <w:rFonts w:hint="eastAsia" w:ascii="宋体" w:hAnsi="宋体" w:eastAsia="宋体" w:cs="宋体"/>
                <w:sz w:val="24"/>
                <w:szCs w:val="24"/>
                <w:lang w:eastAsia="zh-CN"/>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体检职业装夏装</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量身定制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238.00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根据需求设计</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所有的服装需根据职工体型量身定制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护士鞋</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四季护士鞋</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根据需求进行</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122.00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jc w:val="left"/>
              <w:rPr>
                <w:rFonts w:hint="eastAsia" w:ascii="宋体" w:hAnsi="宋体" w:eastAsia="宋体" w:cs="宋体"/>
                <w:sz w:val="24"/>
                <w:szCs w:val="24"/>
                <w:lang w:val="en-US" w:eastAsia="zh-CN"/>
              </w:rPr>
            </w:pPr>
          </w:p>
        </w:tc>
      </w:tr>
    </w:tbl>
    <w:p>
      <w:pPr>
        <w:spacing w:line="440" w:lineRule="exact"/>
        <w:ind w:firstLine="487" w:firstLineChars="202"/>
        <w:rPr>
          <w:rFonts w:hint="eastAsia" w:ascii="黑体" w:hAnsi="黑体" w:eastAsia="黑体" w:cs="黑体"/>
          <w:b/>
          <w:sz w:val="24"/>
          <w:szCs w:val="24"/>
          <w:lang w:val="en-US" w:eastAsia="zh-CN"/>
        </w:rPr>
      </w:pPr>
      <w:r>
        <w:rPr>
          <w:rFonts w:hint="eastAsia" w:ascii="黑体" w:hAnsi="黑体" w:eastAsia="黑体" w:cs="黑体"/>
          <w:b/>
          <w:sz w:val="24"/>
          <w:szCs w:val="24"/>
          <w:lang w:val="en-US" w:eastAsia="zh-CN"/>
        </w:rPr>
        <w:t>四、技术参数及要求</w:t>
      </w:r>
    </w:p>
    <w:p>
      <w:pPr>
        <w:pStyle w:val="7"/>
        <w:numPr>
          <w:ilvl w:val="0"/>
          <w:numId w:val="0"/>
        </w:numPr>
        <w:snapToGrid w:val="0"/>
        <w:spacing w:line="500" w:lineRule="exact"/>
        <w:jc w:val="left"/>
        <w:rPr>
          <w:rFonts w:hint="eastAsia" w:ascii="宋体" w:hAnsi="宋体" w:eastAsia="宋体" w:cs="宋体"/>
          <w:b/>
          <w:bCs/>
          <w:sz w:val="24"/>
          <w:szCs w:val="24"/>
        </w:rPr>
      </w:pPr>
      <w:r>
        <w:rPr>
          <w:rFonts w:hint="eastAsia" w:ascii="宋体" w:hAnsi="宋体" w:eastAsia="宋体" w:cs="宋体"/>
          <w:b/>
          <w:bCs/>
          <w:sz w:val="24"/>
          <w:szCs w:val="24"/>
          <w:lang w:eastAsia="zh-CN"/>
        </w:rPr>
        <w:t>（一）产品初步技术参数（以最终评审样品为准），要求未提供样品的投标人必须提供样品。</w:t>
      </w:r>
    </w:p>
    <w:tbl>
      <w:tblPr>
        <w:tblStyle w:val="11"/>
        <w:tblW w:w="8600" w:type="dxa"/>
        <w:tblInd w:w="-3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5"/>
        <w:gridCol w:w="1611"/>
        <w:gridCol w:w="6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货物名称</w:t>
            </w: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医生服冬装（女医生孕妇冬装）</w:t>
            </w: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1、成分：93%涤±1（可含其他微量纤维），7%棉±1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2、甲醛含量：≤20mg/kg。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4、线密度：经纱：15.7tex*2-37.6s/2;经向长丝主体纱169.0dtex-34.9s;  纬向：111.0dtex-53.2s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5、水洗尺寸变化率：经向：0；纬向：-0.1（-表示收缩，+表示伸长）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6、单位面积质量：240±2g/㎡。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7、撕破强力（N)GB/T3917.2-2009裤形测试法:经向39；纬向29；GB/T3923.1-2013条样测试法：经向1700；纬向1600；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8、耐摩擦色牢度：4-5级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9、耐水色牢度：4级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10、耐皂洗色牢度：4级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11、抗菌效果：抑菌率：黄金葡萄球菌&gt;99%；大肠杆菌&gt;99%；白色念珠菌≥90%；肺炎克雷白氏菌&gt;99%；谷草芽孢杆菌≥95%；铜绿假单胞菌≥96%；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备注：以上参数均需提供具有检测资质的检测机构出具的合格检测报告加盖投标人公章予以佐证（原件备查）。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医生夏装工作服（女医生孕妇夏装）</w:t>
            </w: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1、成分：100%聚酯纤维（可含其他微量纤维）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2、单位面积质量：185g/㎡±5g/㎡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3、甲醛含量（mg/kg):≤75（B类），不得检出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5、起毛球性能：3-4级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6、撕破强力（冲击摆锤法）：经向/N≥32；纬向/N≥30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7、透气率mm/s:≥55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备注：以上参数均需提供具有检测资质的检测机构出具的合格检测报告加盖投标人公章予以佐证（原件备查）。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护士服冬装（护士孕妇冬装）</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1、成分：80%±2%聚酯纤维（可含其他微量纤维）,20%±2%棉。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2、单位面积质量：215g/㎡±5g/㎡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3、静电压半衰期：静电压497V   静电压半衰期0.2s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4、电荷面密度：3.60uC/㎡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6、甲醛含量（mg/kg):≤75（B类）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7、耐水色牢度：≥4级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8、耐干摩擦色牢度：4-5级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9、耐湿摩擦色牢度：4-5级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10、水洗尺寸变化率：直向：-0.8；横向：-1.3（-表示收缩，+表示伸长）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11、可萃取重金属含量（mg/kg):未检出；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备注：以上参数均需提供具有检测资质的检测机构出具的合格检测报告加盖投标人公章予以佐证。（原件备查）。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护士服夏装     （护士孕妇夏装）</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1、成分：93%涤±1（可含其他微量纤维），7%棉±1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2、单位面积质量：200g/㎡±5g/㎡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3、静电压半衰期：静电压912V   静电压半衰期1.2s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4、电荷面密度：3.40uC/㎡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6、耐水色牢度：≥4级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7、耐干摩擦色牢度：4-5级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8、耐湿摩擦色牢度：4-5级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9、水洗尺寸变化率：经向：-0.3；纬向：-0.4（-表示收缩，+表示伸长）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10、撕破强力（N):经向30；纬向18；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11、织物密度：经向密度：650根/10cm±5；纬向密度390根/10cm±5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备注：以上参数均需提供具有检测资质的检测机构出具的合格检测报告加盖投标人公章予以佐证（原件备查）。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儿保科工作服冬装</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1、成分：80%±2%聚酯纤维（可含其他微量纤维）,20%±2%棉。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2、单位面积质量：215g/㎡±5g/㎡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3、静电压半衰期：静电压497V   静电压半衰期0.2s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4、电荷面密度：3.60uC/㎡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6、甲醛含量（mg/kg):≤75（B类）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7、耐水色牢度：≥4级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8、耐干摩擦色牢度：4-5级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9、耐湿摩擦色牢度：4-5级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10、水洗尺寸变化率：直向：-0.8；横向：-1.3（-表示收缩，+表示伸长）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11、可萃取重金属含量（mg/kg):未检出；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备注：以上参数均需提供具有检测资质的检测机构出具的合格检测报告加盖投标人公章予以佐证。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儿保科工作服夏装</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1、成分：93%涤±1（可含其他微量纤维），7%棉±1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2、单位面积质量：200g/㎡±5g/㎡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3、静电压半衰期：静电压912V   静电压半衰期1.2s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4、电荷面密度：3.40uC/㎡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6、耐水色牢度：≥4级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7、耐干摩擦色牢度：4-5级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8、耐湿摩擦色牢度：4-5级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9、水洗尺寸变化率：经向：-0.3；纬向：-0.4（-表示收缩，+表示伸长）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10、撕破强力（N):经向30；纬向18；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11、织物密度：经向密度：650根/10cm±5；纬向密度390根/10cm±5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备注：以上参数均需提供具有检测资质的检测机构出具的合格检测报告加盖投标人公章予以佐证。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护士毛衣</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1、纤维含量：羊毛70%±5，晴纶30%±5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3、耐湿摩擦色牢度：4-5级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4、耐干摩擦色牢度：4-5级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备注：以上参数均需提供具有检测资质的检测机构出具的合格检测报告加盖投标人公章予以佐证。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新生儿夹衣</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符合GB 31701-2015《婴幼儿及儿童纺织产品安全技术规范》A类标准执行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体检中心职业装冬装</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面料品名：东丽防透面料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1.可分解有害芳香胺染料：≤20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2、甲醛含量（mg/kg):≤75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4、异味：无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5、纱支（旦尼尔）：经向195±5，纬向150±5；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6、密度（根/cm）：680±5，纬向855±5；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7、水洗尺寸变化：经向-1±0.5；纬向-1±0.5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8、耐水色牢度：≥4-5级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9、耐摩擦色牢度：≥4-5级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10、耐酸碱汗渍色牢度：≥4-5级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备注：以上参数均需提供具有检测资质的检测机构出具的合格检测报告加盖投标人公章予以佐证。（原件备查）。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体检中心职业装夏装</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面料品名：东丽防透面料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1.可分解有害芳香胺染料：≤20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2、甲醛含量（mg/kg):≤75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4、异味：无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5、纱支（旦尼尔）：经向160±5，纬向190±5；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6、密度（根/cm）：经向515±5，纬向375±5；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7、水洗尺寸变化：经向-1±0.5；纬向-1±0.5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8、耐水色牢度：≥4-5级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9、耐摩擦色牢度：≥4-5级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10、耐酸碱汗渍色牢度：≥4-5级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备注：以上参数均需提供具有检测资质的检测机构出具的合格检测报告加盖投标人公章予以佐证。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病员服</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1、面料成分：100%棉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2、pH值：4.0-7.5。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3、甲醛含量（mg/kg):≤75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4、异味：无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5、耐水色牢度：≥4-5级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6、织物密度：（根/cm）：经线210±5，纬向290±5；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备注：以上参数均需提供具有检测资质的检测机构出具的合格检测报告加盖投标人公章予以佐证。（原件备查）。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护士鞋（四季）</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1、鞋面：采用优质的白色软牛皮。质地柔软、透气 吸汗、耐磨、不臭脚，易清洗，穿着舒适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2、里料：为透气超纤加海绵 ,舒适柔软透气。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3、鞋底：宽大弹性 U 型气垫加 EVA 船形底台，耐折 耐磨符合国家标准。特殊止滑刻纹，复合橡胶材质， 防滑，弹性佳，耐磨，静音，质轻。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4、鞋垫：3—6mm 天然乳胶外贴透气超纤软皮质材料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5、胶水：采用不含苯的环保胶水。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6、颜色：白色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备注：以上参数均需提供具有检测资质的检测机构出具的合格检测报告加盖投标人公章予以佐证。</w:t>
            </w:r>
          </w:p>
        </w:tc>
      </w:tr>
    </w:tbl>
    <w:p>
      <w:pPr>
        <w:spacing w:line="440" w:lineRule="exact"/>
        <w:jc w:val="left"/>
        <w:rPr>
          <w:rFonts w:hint="eastAsia" w:ascii="宋体" w:hAnsi="宋体" w:eastAsia="宋体" w:cs="宋体"/>
          <w:sz w:val="24"/>
          <w:szCs w:val="24"/>
          <w:lang w:val="en-US" w:eastAsia="zh-CN"/>
        </w:rPr>
      </w:pPr>
    </w:p>
    <w:p>
      <w:pPr>
        <w:autoSpaceDE w:val="0"/>
        <w:spacing w:line="360" w:lineRule="auto"/>
        <w:ind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（二）</w:t>
      </w:r>
      <w:r>
        <w:rPr>
          <w:rFonts w:hint="eastAsia" w:ascii="黑体" w:hAnsi="黑体" w:eastAsia="黑体" w:cs="黑体"/>
          <w:sz w:val="24"/>
          <w:szCs w:val="24"/>
        </w:rPr>
        <w:t>服务要求</w:t>
      </w:r>
    </w:p>
    <w:p>
      <w:pPr>
        <w:autoSpaceDE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rPr>
        <w:t>服装成品质量要求</w:t>
      </w:r>
    </w:p>
    <w:p>
      <w:pPr>
        <w:autoSpaceDE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①达到一等品，质量合格率需达到100%。</w:t>
      </w:r>
    </w:p>
    <w:p>
      <w:pPr>
        <w:autoSpaceDE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②单项服装成品的返修率需在3%及以下。</w:t>
      </w:r>
    </w:p>
    <w:p>
      <w:pPr>
        <w:autoSpaceDE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③如单项服装成品的返修率高于3%，采购方有权要求对该批次服装进行重新制作。</w:t>
      </w:r>
    </w:p>
    <w:p>
      <w:pPr>
        <w:autoSpaceDE w:val="0"/>
        <w:adjustRightInd w:val="0"/>
        <w:snapToGrid w:val="0"/>
        <w:spacing w:after="0" w:line="360" w:lineRule="auto"/>
        <w:ind w:left="420" w:left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rPr>
        <w:t>量体裁衣及标签管理</w:t>
      </w:r>
    </w:p>
    <w:p>
      <w:pPr>
        <w:autoSpaceDE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中标供应商应于签订合同后的</w:t>
      </w:r>
      <w:r>
        <w:rPr>
          <w:rFonts w:hint="eastAsia" w:ascii="宋体" w:hAnsi="宋体" w:eastAsia="宋体" w:cs="宋体"/>
          <w:color w:val="FF0000"/>
          <w:sz w:val="24"/>
          <w:szCs w:val="24"/>
          <w:highlight w:val="none"/>
          <w:lang w:eastAsia="zh-CN"/>
        </w:rPr>
        <w:t>1</w:t>
      </w:r>
      <w:r>
        <w:rPr>
          <w:rFonts w:hint="eastAsia" w:ascii="宋体" w:hAnsi="宋体" w:eastAsia="宋体" w:cs="宋体"/>
          <w:color w:val="FF0000"/>
          <w:sz w:val="24"/>
          <w:szCs w:val="24"/>
          <w:highlight w:val="none"/>
          <w:lang w:val="en-US" w:eastAsia="zh-CN"/>
        </w:rPr>
        <w:t>0</w:t>
      </w:r>
      <w:r>
        <w:rPr>
          <w:rFonts w:hint="eastAsia" w:ascii="宋体" w:hAnsi="宋体" w:eastAsia="宋体" w:cs="宋体"/>
          <w:color w:val="FF0000"/>
          <w:sz w:val="24"/>
          <w:szCs w:val="24"/>
          <w:highlight w:val="none"/>
        </w:rPr>
        <w:t>日</w:t>
      </w:r>
      <w:r>
        <w:rPr>
          <w:rFonts w:hint="eastAsia" w:ascii="宋体" w:hAnsi="宋体" w:eastAsia="宋体" w:cs="宋体"/>
          <w:sz w:val="24"/>
          <w:szCs w:val="24"/>
          <w:highlight w:val="none"/>
        </w:rPr>
        <w:t>内，在采购人指定的地点现场为每位工作人员测量服装尺寸并做好记录及标签，以保障定制的服装更加合体。</w:t>
      </w:r>
    </w:p>
    <w:p>
      <w:pPr>
        <w:autoSpaceDE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rPr>
        <w:t>设计制作成果质量保证</w:t>
      </w:r>
    </w:p>
    <w:p>
      <w:pPr>
        <w:autoSpaceDE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供应商制作前应与采购人协商确定工作服样式、颜色等内容后开展制作。</w:t>
      </w:r>
    </w:p>
    <w:p>
      <w:pPr>
        <w:autoSpaceDE w:val="0"/>
        <w:adjustRightInd w:val="0"/>
        <w:snapToGrid w:val="0"/>
        <w:spacing w:line="360" w:lineRule="auto"/>
        <w:ind w:firstLine="0" w:firstLineChars="0"/>
        <w:rPr>
          <w:rFonts w:hint="eastAsia" w:ascii="宋体" w:hAnsi="宋体" w:eastAsia="宋体" w:cs="宋体"/>
          <w:sz w:val="24"/>
          <w:szCs w:val="24"/>
        </w:rPr>
      </w:pPr>
      <w:r>
        <w:rPr>
          <w:rFonts w:hint="eastAsia" w:ascii="黑体" w:hAnsi="黑体" w:eastAsia="黑体" w:cs="黑体"/>
          <w:sz w:val="24"/>
          <w:szCs w:val="24"/>
          <w:lang w:val="en-US" w:eastAsia="zh-CN"/>
        </w:rPr>
        <w:t>（三）</w:t>
      </w:r>
      <w:r>
        <w:rPr>
          <w:rFonts w:hint="eastAsia" w:ascii="黑体" w:hAnsi="黑体" w:eastAsia="黑体" w:cs="黑体"/>
          <w:sz w:val="24"/>
          <w:szCs w:val="24"/>
        </w:rPr>
        <w:t>质保要求</w:t>
      </w:r>
    </w:p>
    <w:p>
      <w:pPr>
        <w:autoSpaceDE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①服装质保期不得少于1年（验收合格之日起）。质保期内提供质量“三包”服务。</w:t>
      </w:r>
    </w:p>
    <w:p>
      <w:pPr>
        <w:autoSpaceDE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质保期内，供应商提供的一切服务（包含但不限于上门服务、差旅费等）均应考虑在报价内，采购人不另行支付。质保期内定制的服装有质量问题的，先修理，2次修理仍不能达到相关质量标准存在确需更换供应商在15日内无条件更换。供应商在质保期内均应当为采购人提供技术支持（服装修改、现场量体等服务）服务。</w:t>
      </w:r>
    </w:p>
    <w:p>
      <w:pPr>
        <w:pStyle w:val="10"/>
        <w:spacing w:line="500" w:lineRule="exact"/>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4</w:t>
      </w:r>
      <w:r>
        <w:rPr>
          <w:rFonts w:hint="eastAsia" w:hAnsi="宋体" w:cs="宋体"/>
          <w:kern w:val="2"/>
          <w:sz w:val="24"/>
          <w:szCs w:val="24"/>
          <w:highlight w:val="none"/>
          <w:lang w:val="en-US" w:eastAsia="zh-CN"/>
        </w:rPr>
        <w:t>.</w:t>
      </w:r>
      <w:r>
        <w:rPr>
          <w:rFonts w:hint="eastAsia" w:ascii="宋体" w:hAnsi="宋体" w:eastAsia="宋体" w:cs="宋体"/>
          <w:kern w:val="2"/>
          <w:sz w:val="24"/>
          <w:szCs w:val="24"/>
          <w:highlight w:val="none"/>
        </w:rPr>
        <w:t>中标供应商接到采购人通知后及时响应并在一周内完成相应物资供应，如采购人需要供应商到现场确定的参数事宜，原则上应1天内到达现场。紧急情况下按采购人要求及时完成相应工作内容。</w:t>
      </w:r>
    </w:p>
    <w:p>
      <w:pPr>
        <w:pStyle w:val="10"/>
        <w:spacing w:line="500" w:lineRule="exact"/>
        <w:ind w:firstLine="480" w:firstLineChars="20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5</w:t>
      </w:r>
      <w:r>
        <w:rPr>
          <w:rFonts w:hint="eastAsia" w:hAnsi="宋体" w:cs="宋体"/>
          <w:kern w:val="2"/>
          <w:sz w:val="24"/>
          <w:szCs w:val="24"/>
          <w:highlight w:val="none"/>
          <w:lang w:val="en-US" w:eastAsia="zh-CN"/>
        </w:rPr>
        <w:t>.</w:t>
      </w:r>
      <w:r>
        <w:rPr>
          <w:rFonts w:hint="eastAsia" w:ascii="宋体" w:hAnsi="宋体" w:eastAsia="宋体" w:cs="宋体"/>
          <w:kern w:val="2"/>
          <w:sz w:val="24"/>
          <w:szCs w:val="24"/>
          <w:highlight w:val="none"/>
        </w:rPr>
        <w:t>采购人根据合同定期对供应商服务时效、价格、质量等情况进行考核，若考核结果未达到采购人要求，采购人将对成交供应商进行约谈，约谈后若未及时整改采购人有权终止合同。</w:t>
      </w:r>
    </w:p>
    <w:p>
      <w:pPr>
        <w:rPr>
          <w:rFonts w:hint="eastAsia" w:ascii="宋体" w:hAnsi="宋体" w:eastAsia="宋体" w:cs="宋体"/>
          <w:sz w:val="24"/>
          <w:szCs w:val="24"/>
        </w:rPr>
      </w:pPr>
    </w:p>
    <w:p>
      <w:pPr>
        <w:pStyle w:val="15"/>
        <w:numPr>
          <w:ilvl w:val="1"/>
          <w:numId w:val="0"/>
        </w:numPr>
        <w:wordWrap/>
        <w:topLinePunct w:val="0"/>
        <w:spacing w:line="360" w:lineRule="auto"/>
        <w:ind w:left="0" w:leftChars="0" w:firstLine="0" w:firstLineChars="0"/>
        <w:rPr>
          <w:rFonts w:hint="eastAsia" w:ascii="黑体" w:hAnsi="黑体" w:eastAsia="黑体" w:cs="黑体"/>
          <w:sz w:val="24"/>
          <w:szCs w:val="24"/>
        </w:rPr>
      </w:pP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四</w:t>
      </w:r>
      <w:r>
        <w:rPr>
          <w:rFonts w:hint="eastAsia" w:ascii="黑体" w:hAnsi="黑体" w:eastAsia="黑体" w:cs="黑体"/>
          <w:b w:val="0"/>
          <w:bCs/>
          <w:sz w:val="24"/>
          <w:szCs w:val="24"/>
          <w:lang w:eastAsia="zh-CN"/>
        </w:rPr>
        <w:t>）</w:t>
      </w:r>
      <w:r>
        <w:rPr>
          <w:rFonts w:hint="eastAsia" w:ascii="黑体" w:hAnsi="黑体" w:eastAsia="黑体" w:cs="黑体"/>
          <w:sz w:val="24"/>
          <w:szCs w:val="24"/>
        </w:rPr>
        <w:t>制作要求</w:t>
      </w:r>
    </w:p>
    <w:p>
      <w:pPr>
        <w:pStyle w:val="15"/>
        <w:numPr>
          <w:ilvl w:val="1"/>
          <w:numId w:val="0"/>
        </w:numPr>
        <w:wordWrap/>
        <w:topLinePunct w:val="0"/>
        <w:spacing w:line="360" w:lineRule="auto"/>
        <w:ind w:left="420" w:left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1</w:t>
      </w:r>
      <w:r>
        <w:rPr>
          <w:rFonts w:hint="eastAsia" w:cs="宋体"/>
          <w:b w:val="0"/>
          <w:bCs/>
          <w:sz w:val="24"/>
          <w:szCs w:val="24"/>
          <w:highlight w:val="none"/>
          <w:lang w:val="en-US" w:eastAsia="zh-CN"/>
        </w:rPr>
        <w:t>.</w:t>
      </w:r>
      <w:r>
        <w:rPr>
          <w:rFonts w:hint="eastAsia" w:ascii="宋体" w:hAnsi="宋体" w:eastAsia="宋体" w:cs="宋体"/>
          <w:b w:val="0"/>
          <w:bCs/>
          <w:sz w:val="24"/>
          <w:szCs w:val="24"/>
          <w:highlight w:val="none"/>
        </w:rPr>
        <w:t>针路要平直、圆滑不起皱、不扭曲；松紧度应适宜保证上、下线无浮结现象。</w:t>
      </w:r>
    </w:p>
    <w:p>
      <w:pPr>
        <w:pStyle w:val="15"/>
        <w:numPr>
          <w:ilvl w:val="1"/>
          <w:numId w:val="0"/>
        </w:numPr>
        <w:wordWrap/>
        <w:topLinePunct w:val="0"/>
        <w:spacing w:line="360" w:lineRule="auto"/>
        <w:ind w:left="420" w:left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w:t>
      </w:r>
      <w:r>
        <w:rPr>
          <w:rFonts w:hint="eastAsia" w:cs="宋体"/>
          <w:b w:val="0"/>
          <w:bCs/>
          <w:sz w:val="24"/>
          <w:szCs w:val="24"/>
          <w:highlight w:val="none"/>
          <w:lang w:val="en-US" w:eastAsia="zh-CN"/>
        </w:rPr>
        <w:t>.</w:t>
      </w:r>
      <w:r>
        <w:rPr>
          <w:rFonts w:hint="eastAsia" w:ascii="宋体" w:hAnsi="宋体" w:eastAsia="宋体" w:cs="宋体"/>
          <w:b w:val="0"/>
          <w:bCs/>
          <w:sz w:val="24"/>
          <w:szCs w:val="24"/>
          <w:highlight w:val="none"/>
        </w:rPr>
        <w:t>线路线级平整流畅，无明显歪曲或者堆砌，无跳针，开线，断线，散边等。每厘米4-5针，无线头、残布、揉洗机洗不断线、不裂缝。</w:t>
      </w:r>
    </w:p>
    <w:p>
      <w:pPr>
        <w:pStyle w:val="15"/>
        <w:numPr>
          <w:ilvl w:val="1"/>
          <w:numId w:val="0"/>
        </w:numPr>
        <w:wordWrap/>
        <w:topLinePunct w:val="0"/>
        <w:spacing w:line="360" w:lineRule="auto"/>
        <w:ind w:left="420" w:left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3</w:t>
      </w:r>
      <w:r>
        <w:rPr>
          <w:rFonts w:hint="eastAsia" w:cs="宋体"/>
          <w:b w:val="0"/>
          <w:bCs/>
          <w:sz w:val="24"/>
          <w:szCs w:val="24"/>
          <w:highlight w:val="none"/>
          <w:lang w:val="en-US" w:eastAsia="zh-CN"/>
        </w:rPr>
        <w:t>.</w:t>
      </w:r>
      <w:r>
        <w:rPr>
          <w:rFonts w:hint="eastAsia" w:ascii="宋体" w:hAnsi="宋体" w:eastAsia="宋体" w:cs="宋体"/>
          <w:b w:val="0"/>
          <w:bCs/>
          <w:sz w:val="24"/>
          <w:szCs w:val="24"/>
          <w:highlight w:val="none"/>
        </w:rPr>
        <w:t>明线要求为：宽窄要一致,不能时宽时窄。</w:t>
      </w:r>
      <w:r>
        <w:rPr>
          <w:rFonts w:hint="eastAsia" w:ascii="宋体" w:hAnsi="宋体" w:eastAsia="宋体" w:cs="宋体"/>
          <w:b w:val="0"/>
          <w:bCs/>
          <w:sz w:val="24"/>
          <w:szCs w:val="24"/>
          <w:highlight w:val="none"/>
        </w:rPr>
        <w:br w:type="textWrapping"/>
      </w:r>
      <w:r>
        <w:rPr>
          <w:rFonts w:hint="eastAsia" w:ascii="宋体" w:hAnsi="宋体" w:eastAsia="宋体" w:cs="宋体"/>
          <w:b w:val="0"/>
          <w:bCs/>
          <w:sz w:val="24"/>
          <w:szCs w:val="24"/>
          <w:highlight w:val="none"/>
          <w:lang w:val="en-US" w:eastAsia="zh-CN"/>
        </w:rPr>
        <w:t>4</w:t>
      </w:r>
      <w:r>
        <w:rPr>
          <w:rFonts w:hint="eastAsia" w:cs="宋体"/>
          <w:b w:val="0"/>
          <w:bCs/>
          <w:sz w:val="24"/>
          <w:szCs w:val="24"/>
          <w:highlight w:val="none"/>
          <w:lang w:val="en-US" w:eastAsia="zh-CN"/>
        </w:rPr>
        <w:t>.</w:t>
      </w:r>
      <w:r>
        <w:rPr>
          <w:rFonts w:hint="eastAsia" w:ascii="宋体" w:hAnsi="宋体" w:eastAsia="宋体" w:cs="宋体"/>
          <w:b w:val="0"/>
          <w:bCs/>
          <w:sz w:val="24"/>
          <w:szCs w:val="24"/>
          <w:highlight w:val="none"/>
        </w:rPr>
        <w:t>底线避免打结和油污现象，无明显的纱疵、无毛粒、无条印、折痕、锈斑等、无破洞、磨损。</w:t>
      </w:r>
      <w:r>
        <w:rPr>
          <w:rFonts w:hint="eastAsia" w:ascii="宋体" w:hAnsi="宋体" w:eastAsia="宋体" w:cs="宋体"/>
          <w:b w:val="0"/>
          <w:bCs/>
          <w:sz w:val="24"/>
          <w:szCs w:val="24"/>
          <w:highlight w:val="none"/>
        </w:rPr>
        <w:br w:type="textWrapping"/>
      </w:r>
      <w:r>
        <w:rPr>
          <w:rFonts w:hint="eastAsia" w:ascii="宋体" w:hAnsi="宋体" w:eastAsia="宋体" w:cs="宋体"/>
          <w:b w:val="0"/>
          <w:bCs/>
          <w:sz w:val="24"/>
          <w:szCs w:val="24"/>
          <w:highlight w:val="none"/>
          <w:lang w:val="en-US" w:eastAsia="zh-CN"/>
        </w:rPr>
        <w:t>5</w:t>
      </w:r>
      <w:r>
        <w:rPr>
          <w:rFonts w:hint="eastAsia" w:cs="宋体"/>
          <w:b w:val="0"/>
          <w:bCs/>
          <w:sz w:val="24"/>
          <w:szCs w:val="24"/>
          <w:highlight w:val="none"/>
          <w:lang w:val="en-US" w:eastAsia="zh-CN"/>
        </w:rPr>
        <w:t>.</w:t>
      </w:r>
      <w:r>
        <w:rPr>
          <w:rFonts w:hint="eastAsia" w:ascii="宋体" w:hAnsi="宋体" w:eastAsia="宋体" w:cs="宋体"/>
          <w:b w:val="0"/>
          <w:bCs/>
          <w:sz w:val="24"/>
          <w:szCs w:val="24"/>
          <w:highlight w:val="none"/>
        </w:rPr>
        <w:t>钉扣牢固、钉线透布层，四眼扣的钉线应并列、首尾结牢。</w:t>
      </w:r>
      <w:r>
        <w:rPr>
          <w:rFonts w:hint="eastAsia" w:ascii="宋体" w:hAnsi="宋体" w:eastAsia="宋体" w:cs="宋体"/>
          <w:b w:val="0"/>
          <w:bCs/>
          <w:sz w:val="24"/>
          <w:szCs w:val="24"/>
          <w:highlight w:val="none"/>
        </w:rPr>
        <w:br w:type="textWrapping"/>
      </w:r>
      <w:r>
        <w:rPr>
          <w:rFonts w:hint="eastAsia" w:ascii="宋体" w:hAnsi="宋体" w:eastAsia="宋体" w:cs="宋体"/>
          <w:b w:val="0"/>
          <w:bCs/>
          <w:sz w:val="24"/>
          <w:szCs w:val="24"/>
          <w:highlight w:val="none"/>
          <w:lang w:val="en-US" w:eastAsia="zh-CN"/>
        </w:rPr>
        <w:t>6</w:t>
      </w:r>
      <w:r>
        <w:rPr>
          <w:rFonts w:hint="eastAsia" w:cs="宋体"/>
          <w:b w:val="0"/>
          <w:bCs/>
          <w:sz w:val="24"/>
          <w:szCs w:val="24"/>
          <w:highlight w:val="none"/>
          <w:lang w:val="en-US" w:eastAsia="zh-CN"/>
        </w:rPr>
        <w:t>.</w:t>
      </w:r>
      <w:r>
        <w:rPr>
          <w:rFonts w:hint="eastAsia" w:ascii="宋体" w:hAnsi="宋体" w:eastAsia="宋体" w:cs="宋体"/>
          <w:b w:val="0"/>
          <w:bCs/>
          <w:sz w:val="24"/>
          <w:szCs w:val="24"/>
          <w:highlight w:val="none"/>
        </w:rPr>
        <w:t>锁扣眼应匀整、完全、美观、扣子及扣眼正对，允许偏差不大于0.2厘米，扣眼开通。</w:t>
      </w:r>
    </w:p>
    <w:p>
      <w:pPr>
        <w:pStyle w:val="15"/>
        <w:numPr>
          <w:ilvl w:val="1"/>
          <w:numId w:val="0"/>
        </w:numPr>
        <w:wordWrap/>
        <w:topLinePunct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7</w:t>
      </w:r>
      <w:r>
        <w:rPr>
          <w:rFonts w:hint="eastAsia" w:cs="宋体"/>
          <w:b w:val="0"/>
          <w:bCs/>
          <w:sz w:val="24"/>
          <w:szCs w:val="24"/>
          <w:highlight w:val="none"/>
          <w:lang w:val="en-US" w:eastAsia="zh-CN"/>
        </w:rPr>
        <w:t>.</w:t>
      </w:r>
      <w:r>
        <w:rPr>
          <w:rFonts w:hint="eastAsia" w:ascii="宋体" w:hAnsi="宋体" w:eastAsia="宋体" w:cs="宋体"/>
          <w:b w:val="0"/>
          <w:bCs/>
          <w:sz w:val="24"/>
          <w:szCs w:val="24"/>
          <w:highlight w:val="none"/>
        </w:rPr>
        <w:t>画线、做记号不能用彩色画粉，所有唛头不能用铅笔、圆珠笔涂写</w:t>
      </w:r>
    </w:p>
    <w:p>
      <w:pPr>
        <w:pStyle w:val="15"/>
        <w:numPr>
          <w:ilvl w:val="1"/>
          <w:numId w:val="0"/>
        </w:numPr>
        <w:wordWrap/>
        <w:topLinePunct w:val="0"/>
        <w:spacing w:line="360" w:lineRule="auto"/>
        <w:ind w:left="420" w:left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8</w:t>
      </w:r>
      <w:r>
        <w:rPr>
          <w:rFonts w:hint="eastAsia" w:cs="宋体"/>
          <w:b w:val="0"/>
          <w:bCs/>
          <w:sz w:val="24"/>
          <w:szCs w:val="24"/>
          <w:highlight w:val="none"/>
          <w:lang w:val="en-US" w:eastAsia="zh-CN"/>
        </w:rPr>
        <w:t>.</w:t>
      </w:r>
      <w:r>
        <w:rPr>
          <w:rFonts w:hint="eastAsia" w:ascii="宋体" w:hAnsi="宋体" w:eastAsia="宋体" w:cs="宋体"/>
          <w:b w:val="0"/>
          <w:bCs/>
          <w:sz w:val="24"/>
          <w:szCs w:val="24"/>
          <w:highlight w:val="none"/>
        </w:rPr>
        <w:t>合体率＞95%。</w:t>
      </w:r>
    </w:p>
    <w:p>
      <w:pPr>
        <w:pStyle w:val="2"/>
        <w:rPr>
          <w:rFonts w:hint="eastAsia" w:ascii="宋体" w:hAnsi="宋体" w:eastAsia="宋体" w:cs="宋体"/>
          <w:sz w:val="24"/>
          <w:szCs w:val="24"/>
        </w:rPr>
      </w:pPr>
    </w:p>
    <w:p>
      <w:pPr>
        <w:autoSpaceDE w:val="0"/>
        <w:adjustRightInd w:val="0"/>
        <w:snapToGrid w:val="0"/>
        <w:spacing w:line="360" w:lineRule="auto"/>
        <w:ind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（五）</w:t>
      </w:r>
      <w:r>
        <w:rPr>
          <w:rFonts w:hint="eastAsia" w:ascii="黑体" w:hAnsi="黑体" w:eastAsia="黑体" w:cs="黑体"/>
          <w:sz w:val="24"/>
          <w:szCs w:val="24"/>
        </w:rPr>
        <w:t>考核（验收）标准和方法</w:t>
      </w:r>
    </w:p>
    <w:p>
      <w:pPr>
        <w:autoSpaceDE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由采购人组织验收。投标人与采购人应严格按照《财政部关于进一步加强政府采购需求和履约验收管理的指导意见》（财库〔2016〕205号）的要求进行验收。</w:t>
      </w:r>
    </w:p>
    <w:p>
      <w:pPr>
        <w:autoSpaceDE w:val="0"/>
        <w:adjustRightInd w:val="0"/>
        <w:snapToGrid w:val="0"/>
        <w:spacing w:line="360" w:lineRule="auto"/>
        <w:ind w:firstLine="480" w:firstLineChars="200"/>
        <w:rPr>
          <w:rFonts w:hint="eastAsia" w:ascii="宋体" w:hAnsi="宋体" w:eastAsia="宋体" w:cs="宋体"/>
          <w:sz w:val="24"/>
          <w:szCs w:val="24"/>
          <w:lang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中标人在交货前所有面料须提供202</w:t>
      </w:r>
      <w:r>
        <w:rPr>
          <w:rFonts w:hint="eastAsia" w:ascii="宋体" w:hAnsi="宋体" w:eastAsia="宋体" w:cs="宋体"/>
          <w:sz w:val="24"/>
          <w:szCs w:val="24"/>
          <w:lang w:val="en-US" w:eastAsia="zh-CN"/>
        </w:rPr>
        <w:t>1</w:t>
      </w:r>
      <w:r>
        <w:rPr>
          <w:rFonts w:hint="eastAsia" w:ascii="宋体" w:hAnsi="宋体" w:eastAsia="宋体" w:cs="宋体"/>
          <w:sz w:val="24"/>
          <w:szCs w:val="24"/>
        </w:rPr>
        <w:t>年或20</w:t>
      </w:r>
      <w:r>
        <w:rPr>
          <w:rFonts w:hint="eastAsia" w:ascii="宋体" w:hAnsi="宋体" w:eastAsia="宋体" w:cs="宋体"/>
          <w:sz w:val="24"/>
          <w:szCs w:val="24"/>
          <w:lang w:val="en-US" w:eastAsia="zh-CN"/>
        </w:rPr>
        <w:t>22</w:t>
      </w:r>
      <w:r>
        <w:rPr>
          <w:rFonts w:hint="eastAsia" w:ascii="宋体" w:hAnsi="宋体" w:eastAsia="宋体" w:cs="宋体"/>
          <w:sz w:val="24"/>
          <w:szCs w:val="24"/>
        </w:rPr>
        <w:t>年的第三方具有检测资质的检测机构出具的有效的质量检测报告，交货后采购方可对货物进行抽检，若发现所有的面料及辅料与封板样品及投标文件不相符的，有权退货并不予付款。</w:t>
      </w:r>
    </w:p>
    <w:p>
      <w:pPr>
        <w:spacing w:line="440" w:lineRule="exact"/>
        <w:jc w:val="left"/>
        <w:rPr>
          <w:rFonts w:hint="eastAsia" w:ascii="宋体" w:hAnsi="宋体" w:eastAsia="宋体" w:cs="宋体"/>
          <w:b/>
          <w:bCs/>
          <w:sz w:val="24"/>
          <w:szCs w:val="24"/>
          <w:lang w:val="en-US" w:eastAsia="zh-CN"/>
        </w:rPr>
      </w:pPr>
      <w:r>
        <w:rPr>
          <w:rFonts w:hint="eastAsia" w:ascii="黑体" w:hAnsi="黑体" w:eastAsia="黑体" w:cs="黑体"/>
          <w:b/>
          <w:bCs/>
          <w:sz w:val="24"/>
          <w:szCs w:val="24"/>
          <w:lang w:val="en-US" w:eastAsia="zh-CN"/>
        </w:rPr>
        <w:t>五、服务期限</w:t>
      </w:r>
    </w:p>
    <w:p>
      <w:pPr>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服务期限为三年，合同一年一签。</w:t>
      </w:r>
    </w:p>
    <w:p>
      <w:pPr>
        <w:spacing w:line="440" w:lineRule="exact"/>
        <w:jc w:val="left"/>
        <w:rPr>
          <w:rFonts w:hint="eastAsia" w:ascii="宋体" w:hAnsi="宋体" w:eastAsia="宋体" w:cs="宋体"/>
          <w:b/>
          <w:bCs/>
          <w:sz w:val="24"/>
          <w:szCs w:val="24"/>
          <w:highlight w:val="yellow"/>
          <w:lang w:val="en-US" w:eastAsia="zh-CN"/>
        </w:rPr>
      </w:pPr>
      <w:r>
        <w:rPr>
          <w:rFonts w:hint="eastAsia" w:ascii="黑体" w:hAnsi="黑体" w:eastAsia="黑体" w:cs="黑体"/>
          <w:b/>
          <w:bCs/>
          <w:sz w:val="24"/>
          <w:szCs w:val="24"/>
          <w:lang w:val="en-US" w:eastAsia="zh-CN"/>
        </w:rPr>
        <w:t>六、付款方式</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根据实际制作量*中标单价每</w:t>
      </w:r>
      <w:r>
        <w:rPr>
          <w:rFonts w:hint="eastAsia" w:ascii="宋体" w:hAnsi="宋体" w:eastAsia="宋体" w:cs="宋体"/>
          <w:sz w:val="24"/>
          <w:szCs w:val="24"/>
          <w:lang w:eastAsia="zh-CN"/>
        </w:rPr>
        <w:t>月据实</w:t>
      </w:r>
      <w:r>
        <w:rPr>
          <w:rFonts w:hint="eastAsia" w:ascii="宋体" w:hAnsi="宋体" w:eastAsia="宋体" w:cs="宋体"/>
          <w:sz w:val="24"/>
          <w:szCs w:val="24"/>
        </w:rPr>
        <w:t>结算一次，</w:t>
      </w:r>
      <w:r>
        <w:rPr>
          <w:rFonts w:hint="eastAsia" w:ascii="宋体" w:hAnsi="宋体" w:eastAsia="宋体" w:cs="宋体"/>
          <w:sz w:val="24"/>
          <w:szCs w:val="24"/>
          <w:lang w:eastAsia="zh-CN"/>
        </w:rPr>
        <w:t>采购</w:t>
      </w:r>
      <w:r>
        <w:rPr>
          <w:rFonts w:hint="eastAsia" w:ascii="宋体" w:hAnsi="宋体" w:eastAsia="宋体" w:cs="宋体"/>
          <w:sz w:val="24"/>
          <w:szCs w:val="24"/>
        </w:rPr>
        <w:t>人在验收合格后并收到中标人合法有效发票后</w:t>
      </w:r>
      <w:r>
        <w:rPr>
          <w:rFonts w:hint="eastAsia" w:ascii="宋体" w:hAnsi="宋体" w:eastAsia="宋体" w:cs="宋体"/>
          <w:sz w:val="24"/>
          <w:szCs w:val="24"/>
          <w:lang w:val="en-US" w:eastAsia="zh-CN"/>
        </w:rPr>
        <w:t>60个工作日</w:t>
      </w:r>
      <w:r>
        <w:rPr>
          <w:rFonts w:hint="eastAsia" w:ascii="宋体" w:hAnsi="宋体" w:eastAsia="宋体" w:cs="宋体"/>
          <w:sz w:val="24"/>
          <w:szCs w:val="24"/>
        </w:rPr>
        <w:t>内支付。（因中标人不能按时提供有效发票导致付款延时的，由中标人自行负责。）</w:t>
      </w:r>
    </w:p>
    <w:p>
      <w:pPr>
        <w:pStyle w:val="10"/>
        <w:spacing w:line="500" w:lineRule="exact"/>
        <w:ind w:left="0" w:firstLine="482" w:firstLineChars="200"/>
        <w:jc w:val="both"/>
        <w:rPr>
          <w:rFonts w:hint="eastAsia" w:ascii="方正仿宋_GB2312" w:hAnsi="方正仿宋_GB2312" w:eastAsia="方正仿宋_GB2312" w:cs="方正仿宋_GB2312"/>
          <w:b/>
          <w:bCs/>
          <w:sz w:val="28"/>
          <w:szCs w:val="28"/>
        </w:rPr>
      </w:pPr>
      <w:r>
        <w:rPr>
          <w:rFonts w:hint="eastAsia" w:ascii="黑体" w:hAnsi="黑体" w:eastAsia="黑体" w:cs="黑体"/>
          <w:b/>
          <w:bCs/>
          <w:kern w:val="2"/>
          <w:sz w:val="24"/>
          <w:szCs w:val="24"/>
          <w:lang w:val="en-US" w:eastAsia="zh-CN" w:bidi="ar-SA"/>
        </w:rPr>
        <w:t>七、评分办法</w:t>
      </w:r>
    </w:p>
    <w:p>
      <w:pPr>
        <w:pStyle w:val="1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采购方将根据报价、业绩和服务实施方案等，采用综合评分法进行评审，推荐得分最高的为成交供应商。</w:t>
      </w:r>
    </w:p>
    <w:p>
      <w:pPr>
        <w:pStyle w:val="10"/>
        <w:spacing w:line="500" w:lineRule="exact"/>
        <w:ind w:lef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综合评分明细表</w:t>
      </w:r>
    </w:p>
    <w:tbl>
      <w:tblPr>
        <w:tblStyle w:val="11"/>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252"/>
        <w:gridCol w:w="837"/>
        <w:gridCol w:w="4163"/>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252" w:type="dxa"/>
            <w:tcBorders>
              <w:top w:val="single" w:color="auto" w:sz="4" w:space="0"/>
              <w:left w:val="nil"/>
              <w:bottom w:val="single" w:color="auto" w:sz="4" w:space="0"/>
              <w:right w:val="single" w:color="auto" w:sz="4" w:space="0"/>
            </w:tcBorders>
            <w:vAlign w:val="center"/>
          </w:tcPr>
          <w:p>
            <w:pPr>
              <w:spacing w:line="400" w:lineRule="exact"/>
              <w:ind w:firstLine="28"/>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评分因素及权重</w:t>
            </w:r>
          </w:p>
        </w:tc>
        <w:tc>
          <w:tcPr>
            <w:tcW w:w="837" w:type="dxa"/>
            <w:tcBorders>
              <w:top w:val="single" w:color="auto" w:sz="4" w:space="0"/>
              <w:left w:val="nil"/>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 值</w:t>
            </w:r>
          </w:p>
        </w:tc>
        <w:tc>
          <w:tcPr>
            <w:tcW w:w="4163" w:type="dxa"/>
            <w:tcBorders>
              <w:top w:val="single" w:color="auto" w:sz="4" w:space="0"/>
              <w:left w:val="nil"/>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评分标准</w:t>
            </w:r>
          </w:p>
        </w:tc>
        <w:tc>
          <w:tcPr>
            <w:tcW w:w="168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252"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报价30%</w:t>
            </w:r>
          </w:p>
          <w:p>
            <w:pPr>
              <w:rPr>
                <w:rFonts w:hint="eastAsia" w:ascii="宋体" w:hAnsi="宋体" w:eastAsia="宋体" w:cs="宋体"/>
                <w:color w:val="000000"/>
                <w:sz w:val="24"/>
                <w:szCs w:val="24"/>
                <w:highlight w:val="none"/>
              </w:rPr>
            </w:pPr>
          </w:p>
        </w:tc>
        <w:tc>
          <w:tcPr>
            <w:tcW w:w="83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30</w:t>
            </w:r>
            <w:r>
              <w:rPr>
                <w:rFonts w:hint="eastAsia" w:ascii="宋体" w:hAnsi="宋体" w:eastAsia="宋体" w:cs="宋体"/>
                <w:color w:val="000000"/>
                <w:sz w:val="24"/>
                <w:szCs w:val="24"/>
                <w:highlight w:val="none"/>
                <w:lang w:val="en-US" w:eastAsia="zh-CN"/>
              </w:rPr>
              <w:t>分</w:t>
            </w:r>
          </w:p>
        </w:tc>
        <w:tc>
          <w:tcPr>
            <w:tcW w:w="416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以本次有效的投标单价汇总金额最低的为基准价，投标报价得分 = (基准价／投标单价汇总金额)*30 分*100%。</w:t>
            </w:r>
          </w:p>
        </w:tc>
        <w:tc>
          <w:tcPr>
            <w:tcW w:w="168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252"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w:t>
            </w:r>
            <w:r>
              <w:rPr>
                <w:rFonts w:hint="eastAsia" w:ascii="宋体" w:hAnsi="宋体" w:eastAsia="宋体" w:cs="宋体"/>
                <w:color w:val="000000"/>
                <w:sz w:val="24"/>
                <w:szCs w:val="24"/>
                <w:highlight w:val="none"/>
                <w:lang w:val="en-US" w:eastAsia="zh-CN"/>
              </w:rPr>
              <w:t>技术</w:t>
            </w:r>
            <w:r>
              <w:rPr>
                <w:rFonts w:hint="eastAsia" w:ascii="宋体" w:hAnsi="宋体" w:eastAsia="宋体" w:cs="宋体"/>
                <w:color w:val="000000"/>
                <w:sz w:val="24"/>
                <w:szCs w:val="24"/>
                <w:highlight w:val="none"/>
              </w:rPr>
              <w:t>要求</w:t>
            </w:r>
            <w:r>
              <w:rPr>
                <w:rFonts w:hint="eastAsia" w:ascii="宋体" w:hAnsi="宋体" w:eastAsia="宋体" w:cs="宋体"/>
                <w:color w:val="000000"/>
                <w:sz w:val="24"/>
                <w:szCs w:val="24"/>
                <w:highlight w:val="none"/>
                <w:lang w:val="en-US" w:eastAsia="zh-CN"/>
              </w:rPr>
              <w:t>23</w:t>
            </w:r>
            <w:r>
              <w:rPr>
                <w:rFonts w:hint="eastAsia" w:ascii="宋体" w:hAnsi="宋体" w:eastAsia="宋体" w:cs="宋体"/>
                <w:color w:val="000000"/>
                <w:sz w:val="24"/>
                <w:szCs w:val="24"/>
                <w:highlight w:val="none"/>
              </w:rPr>
              <w:t>%</w:t>
            </w:r>
          </w:p>
        </w:tc>
        <w:tc>
          <w:tcPr>
            <w:tcW w:w="83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23分</w:t>
            </w:r>
          </w:p>
        </w:tc>
        <w:tc>
          <w:tcPr>
            <w:tcW w:w="416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技术、服务要求完全满足比选文件技术要求及参数的没有（负偏离）得</w:t>
            </w:r>
            <w:r>
              <w:rPr>
                <w:rFonts w:hint="eastAsia" w:ascii="宋体" w:hAnsi="宋体" w:eastAsia="宋体" w:cs="宋体"/>
                <w:color w:val="000000"/>
                <w:sz w:val="24"/>
                <w:szCs w:val="24"/>
                <w:highlight w:val="none"/>
                <w:lang w:val="en-US" w:eastAsia="zh-CN"/>
              </w:rPr>
              <w:t>23</w:t>
            </w:r>
            <w:r>
              <w:rPr>
                <w:rFonts w:hint="eastAsia" w:ascii="宋体" w:hAnsi="宋体" w:eastAsia="宋体" w:cs="宋体"/>
                <w:color w:val="000000"/>
                <w:sz w:val="24"/>
                <w:szCs w:val="24"/>
                <w:highlight w:val="none"/>
              </w:rPr>
              <w:t>分，负偏离一项扣</w:t>
            </w:r>
            <w:r>
              <w:rPr>
                <w:rFonts w:hint="eastAsia" w:ascii="宋体" w:hAnsi="宋体" w:eastAsia="宋体" w:cs="宋体"/>
                <w:color w:val="000000"/>
                <w:sz w:val="24"/>
                <w:szCs w:val="24"/>
                <w:highlight w:val="none"/>
                <w:lang w:val="en-US" w:eastAsia="zh-CN"/>
              </w:rPr>
              <w:t>0.5</w:t>
            </w:r>
            <w:r>
              <w:rPr>
                <w:rFonts w:hint="eastAsia" w:ascii="宋体" w:hAnsi="宋体" w:eastAsia="宋体" w:cs="宋体"/>
                <w:color w:val="000000"/>
                <w:sz w:val="24"/>
                <w:szCs w:val="24"/>
                <w:highlight w:val="none"/>
              </w:rPr>
              <w:t>分，扣完为止。</w:t>
            </w:r>
          </w:p>
        </w:tc>
        <w:tc>
          <w:tcPr>
            <w:tcW w:w="168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提供具有检测资质的检测机构出具的合格检测报告加盖投标人公章予以佐证（原件备查）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252"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业绩6%</w:t>
            </w:r>
          </w:p>
        </w:tc>
        <w:tc>
          <w:tcPr>
            <w:tcW w:w="83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6分</w:t>
            </w:r>
          </w:p>
        </w:tc>
        <w:tc>
          <w:tcPr>
            <w:tcW w:w="416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评审委员会根据供应商所响应产品销售业绩（201</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 xml:space="preserve">至响应截止日）进行评审，每提供一个业绩得2分，最多得6分。 </w:t>
            </w:r>
          </w:p>
        </w:tc>
        <w:tc>
          <w:tcPr>
            <w:tcW w:w="168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提供销售合同或中标/成交通知书复印件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1252"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样品18%</w:t>
            </w:r>
          </w:p>
        </w:tc>
        <w:tc>
          <w:tcPr>
            <w:tcW w:w="83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w:t>
            </w:r>
            <w:r>
              <w:rPr>
                <w:rFonts w:hint="eastAsia" w:ascii="宋体" w:hAnsi="宋体" w:eastAsia="宋体" w:cs="宋体"/>
                <w:color w:val="000000"/>
                <w:sz w:val="24"/>
                <w:szCs w:val="24"/>
                <w:highlight w:val="none"/>
              </w:rPr>
              <w:t>分</w:t>
            </w:r>
          </w:p>
        </w:tc>
        <w:tc>
          <w:tcPr>
            <w:tcW w:w="416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提供的样品根据以下标准进行评审：</w:t>
            </w:r>
          </w:p>
          <w:p>
            <w:pPr>
              <w:numPr>
                <w:ilvl w:val="0"/>
                <w:numId w:val="1"/>
              </w:num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样品缝合走线平整</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合理的得</w:t>
            </w:r>
            <w:r>
              <w:rPr>
                <w:rFonts w:hint="eastAsia" w:ascii="宋体" w:hAnsi="宋体" w:eastAsia="宋体" w:cs="宋体"/>
                <w:color w:val="000000"/>
                <w:sz w:val="24"/>
                <w:szCs w:val="24"/>
                <w:highlight w:val="none"/>
                <w:lang w:val="en-US" w:eastAsia="zh-CN"/>
              </w:rPr>
              <w:t>1-3</w:t>
            </w:r>
            <w:r>
              <w:rPr>
                <w:rFonts w:hint="eastAsia" w:ascii="宋体" w:hAnsi="宋体" w:eastAsia="宋体" w:cs="宋体"/>
                <w:color w:val="000000"/>
                <w:sz w:val="24"/>
                <w:szCs w:val="24"/>
                <w:highlight w:val="none"/>
              </w:rPr>
              <w:t>分，未提供</w:t>
            </w:r>
            <w:r>
              <w:rPr>
                <w:rFonts w:hint="eastAsia" w:ascii="宋体" w:hAnsi="宋体" w:eastAsia="宋体" w:cs="宋体"/>
                <w:color w:val="000000"/>
                <w:sz w:val="24"/>
                <w:szCs w:val="24"/>
                <w:highlight w:val="none"/>
                <w:lang w:val="en-US" w:eastAsia="zh-CN"/>
              </w:rPr>
              <w:t>样品</w:t>
            </w:r>
            <w:r>
              <w:rPr>
                <w:rFonts w:hint="eastAsia" w:ascii="宋体" w:hAnsi="宋体" w:eastAsia="宋体" w:cs="宋体"/>
                <w:color w:val="000000"/>
                <w:sz w:val="24"/>
                <w:szCs w:val="24"/>
                <w:highlight w:val="none"/>
              </w:rPr>
              <w:t>不得分</w:t>
            </w:r>
            <w:r>
              <w:rPr>
                <w:rFonts w:hint="eastAsia" w:ascii="宋体" w:hAnsi="宋体" w:eastAsia="宋体" w:cs="宋体"/>
                <w:color w:val="000000"/>
                <w:sz w:val="24"/>
                <w:szCs w:val="24"/>
                <w:highlight w:val="none"/>
                <w:lang w:eastAsia="zh-CN"/>
              </w:rPr>
              <w:t>）</w:t>
            </w:r>
          </w:p>
          <w:p>
            <w:pPr>
              <w:numPr>
                <w:ilvl w:val="0"/>
                <w:numId w:val="1"/>
              </w:num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整体外观制作美观</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美观</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1-3</w:t>
            </w:r>
            <w:r>
              <w:rPr>
                <w:rFonts w:hint="eastAsia" w:ascii="宋体" w:hAnsi="宋体" w:eastAsia="宋体" w:cs="宋体"/>
                <w:color w:val="000000"/>
                <w:sz w:val="24"/>
                <w:szCs w:val="24"/>
                <w:highlight w:val="none"/>
              </w:rPr>
              <w:t>分，未提供</w:t>
            </w:r>
            <w:r>
              <w:rPr>
                <w:rFonts w:hint="eastAsia" w:ascii="宋体" w:hAnsi="宋体" w:eastAsia="宋体" w:cs="宋体"/>
                <w:color w:val="000000"/>
                <w:sz w:val="24"/>
                <w:szCs w:val="24"/>
                <w:highlight w:val="none"/>
                <w:lang w:val="en-US" w:eastAsia="zh-CN"/>
              </w:rPr>
              <w:t>样品</w:t>
            </w:r>
            <w:r>
              <w:rPr>
                <w:rFonts w:hint="eastAsia" w:ascii="宋体" w:hAnsi="宋体" w:eastAsia="宋体" w:cs="宋体"/>
                <w:color w:val="000000"/>
                <w:sz w:val="24"/>
                <w:szCs w:val="24"/>
                <w:highlight w:val="none"/>
              </w:rPr>
              <w:t>不得分</w:t>
            </w:r>
            <w:r>
              <w:rPr>
                <w:rFonts w:hint="eastAsia" w:ascii="宋体" w:hAnsi="宋体" w:eastAsia="宋体" w:cs="宋体"/>
                <w:color w:val="000000"/>
                <w:sz w:val="24"/>
                <w:szCs w:val="24"/>
                <w:highlight w:val="none"/>
                <w:lang w:eastAsia="zh-CN"/>
              </w:rPr>
              <w:t>）</w:t>
            </w:r>
          </w:p>
          <w:p>
            <w:pPr>
              <w:numPr>
                <w:ilvl w:val="0"/>
                <w:numId w:val="1"/>
              </w:num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工艺制作精良</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精良</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1-3</w:t>
            </w:r>
            <w:r>
              <w:rPr>
                <w:rFonts w:hint="eastAsia" w:ascii="宋体" w:hAnsi="宋体" w:eastAsia="宋体" w:cs="宋体"/>
                <w:color w:val="000000"/>
                <w:sz w:val="24"/>
                <w:szCs w:val="24"/>
                <w:highlight w:val="none"/>
              </w:rPr>
              <w:t>分，未提供</w:t>
            </w:r>
            <w:r>
              <w:rPr>
                <w:rFonts w:hint="eastAsia" w:ascii="宋体" w:hAnsi="宋体" w:eastAsia="宋体" w:cs="宋体"/>
                <w:color w:val="000000"/>
                <w:sz w:val="24"/>
                <w:szCs w:val="24"/>
                <w:highlight w:val="none"/>
                <w:lang w:val="en-US" w:eastAsia="zh-CN"/>
              </w:rPr>
              <w:t>样品</w:t>
            </w:r>
            <w:r>
              <w:rPr>
                <w:rFonts w:hint="eastAsia" w:ascii="宋体" w:hAnsi="宋体" w:eastAsia="宋体" w:cs="宋体"/>
                <w:color w:val="000000"/>
                <w:sz w:val="24"/>
                <w:szCs w:val="24"/>
                <w:highlight w:val="none"/>
              </w:rPr>
              <w:t>不得分</w:t>
            </w:r>
            <w:r>
              <w:rPr>
                <w:rFonts w:hint="eastAsia" w:ascii="宋体" w:hAnsi="宋体" w:eastAsia="宋体" w:cs="宋体"/>
                <w:color w:val="000000"/>
                <w:sz w:val="24"/>
                <w:szCs w:val="24"/>
                <w:highlight w:val="none"/>
                <w:lang w:eastAsia="zh-CN"/>
              </w:rPr>
              <w:t>）</w:t>
            </w:r>
          </w:p>
          <w:p>
            <w:pPr>
              <w:numPr>
                <w:ilvl w:val="0"/>
                <w:numId w:val="1"/>
              </w:num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手感柔软舒适</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舒适</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1-3</w:t>
            </w:r>
            <w:r>
              <w:rPr>
                <w:rFonts w:hint="eastAsia" w:ascii="宋体" w:hAnsi="宋体" w:eastAsia="宋体" w:cs="宋体"/>
                <w:color w:val="000000"/>
                <w:sz w:val="24"/>
                <w:szCs w:val="24"/>
                <w:highlight w:val="none"/>
              </w:rPr>
              <w:t>分，未提供</w:t>
            </w:r>
            <w:r>
              <w:rPr>
                <w:rFonts w:hint="eastAsia" w:ascii="宋体" w:hAnsi="宋体" w:eastAsia="宋体" w:cs="宋体"/>
                <w:color w:val="000000"/>
                <w:sz w:val="24"/>
                <w:szCs w:val="24"/>
                <w:highlight w:val="none"/>
                <w:lang w:val="en-US" w:eastAsia="zh-CN"/>
              </w:rPr>
              <w:t>样品</w:t>
            </w:r>
            <w:r>
              <w:rPr>
                <w:rFonts w:hint="eastAsia" w:ascii="宋体" w:hAnsi="宋体" w:eastAsia="宋体" w:cs="宋体"/>
                <w:color w:val="000000"/>
                <w:sz w:val="24"/>
                <w:szCs w:val="24"/>
                <w:highlight w:val="none"/>
              </w:rPr>
              <w:t>不得分</w:t>
            </w:r>
            <w:r>
              <w:rPr>
                <w:rFonts w:hint="eastAsia" w:ascii="宋体" w:hAnsi="宋体" w:eastAsia="宋体" w:cs="宋体"/>
                <w:color w:val="000000"/>
                <w:sz w:val="24"/>
                <w:szCs w:val="24"/>
                <w:highlight w:val="none"/>
                <w:lang w:eastAsia="zh-CN"/>
              </w:rPr>
              <w:t>）</w:t>
            </w:r>
          </w:p>
          <w:p>
            <w:pPr>
              <w:numPr>
                <w:ilvl w:val="0"/>
                <w:numId w:val="1"/>
              </w:num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对条对称性好</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合理</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1-3</w:t>
            </w:r>
            <w:r>
              <w:rPr>
                <w:rFonts w:hint="eastAsia" w:ascii="宋体" w:hAnsi="宋体" w:eastAsia="宋体" w:cs="宋体"/>
                <w:color w:val="000000"/>
                <w:sz w:val="24"/>
                <w:szCs w:val="24"/>
                <w:highlight w:val="none"/>
              </w:rPr>
              <w:t>分，未提供</w:t>
            </w:r>
            <w:r>
              <w:rPr>
                <w:rFonts w:hint="eastAsia" w:ascii="宋体" w:hAnsi="宋体" w:eastAsia="宋体" w:cs="宋体"/>
                <w:color w:val="000000"/>
                <w:sz w:val="24"/>
                <w:szCs w:val="24"/>
                <w:highlight w:val="none"/>
                <w:lang w:val="en-US" w:eastAsia="zh-CN"/>
              </w:rPr>
              <w:t>样品</w:t>
            </w:r>
            <w:r>
              <w:rPr>
                <w:rFonts w:hint="eastAsia" w:ascii="宋体" w:hAnsi="宋体" w:eastAsia="宋体" w:cs="宋体"/>
                <w:color w:val="000000"/>
                <w:sz w:val="24"/>
                <w:szCs w:val="24"/>
                <w:highlight w:val="none"/>
              </w:rPr>
              <w:t>不得分</w:t>
            </w:r>
            <w:r>
              <w:rPr>
                <w:rFonts w:hint="eastAsia" w:ascii="宋体" w:hAnsi="宋体" w:eastAsia="宋体" w:cs="宋体"/>
                <w:color w:val="000000"/>
                <w:sz w:val="24"/>
                <w:szCs w:val="24"/>
                <w:highlight w:val="none"/>
                <w:lang w:eastAsia="zh-CN"/>
              </w:rPr>
              <w:t>）</w:t>
            </w:r>
          </w:p>
          <w:p>
            <w:pPr>
              <w:numPr>
                <w:ilvl w:val="0"/>
                <w:numId w:val="1"/>
              </w:num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缝迹流畅平服无折皱</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合理</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1-3</w:t>
            </w:r>
            <w:r>
              <w:rPr>
                <w:rFonts w:hint="eastAsia" w:ascii="宋体" w:hAnsi="宋体" w:eastAsia="宋体" w:cs="宋体"/>
                <w:color w:val="000000"/>
                <w:sz w:val="24"/>
                <w:szCs w:val="24"/>
                <w:highlight w:val="none"/>
              </w:rPr>
              <w:t>分，未提供</w:t>
            </w:r>
            <w:r>
              <w:rPr>
                <w:rFonts w:hint="eastAsia" w:ascii="宋体" w:hAnsi="宋体" w:eastAsia="宋体" w:cs="宋体"/>
                <w:color w:val="000000"/>
                <w:sz w:val="24"/>
                <w:szCs w:val="24"/>
                <w:highlight w:val="none"/>
                <w:lang w:val="en-US" w:eastAsia="zh-CN"/>
              </w:rPr>
              <w:t>样品</w:t>
            </w:r>
            <w:r>
              <w:rPr>
                <w:rFonts w:hint="eastAsia" w:ascii="宋体" w:hAnsi="宋体" w:eastAsia="宋体" w:cs="宋体"/>
                <w:color w:val="000000"/>
                <w:sz w:val="24"/>
                <w:szCs w:val="24"/>
                <w:highlight w:val="none"/>
              </w:rPr>
              <w:t>不得分</w:t>
            </w:r>
            <w:r>
              <w:rPr>
                <w:rFonts w:hint="eastAsia" w:ascii="宋体" w:hAnsi="宋体" w:eastAsia="宋体" w:cs="宋体"/>
                <w:color w:val="000000"/>
                <w:sz w:val="24"/>
                <w:szCs w:val="24"/>
                <w:highlight w:val="none"/>
                <w:lang w:eastAsia="zh-CN"/>
              </w:rPr>
              <w:t>）</w:t>
            </w:r>
          </w:p>
          <w:p>
            <w:pPr>
              <w:numPr>
                <w:ilvl w:val="0"/>
                <w:numId w:val="0"/>
              </w:num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完全满足要求得满分</w:t>
            </w:r>
            <w:r>
              <w:rPr>
                <w:rFonts w:hint="eastAsia" w:ascii="宋体" w:hAnsi="宋体" w:eastAsia="宋体" w:cs="宋体"/>
                <w:color w:val="000000"/>
                <w:sz w:val="24"/>
                <w:szCs w:val="24"/>
                <w:highlight w:val="none"/>
                <w:lang w:val="en-US" w:eastAsia="zh-CN"/>
              </w:rPr>
              <w:t>18</w:t>
            </w:r>
            <w:r>
              <w:rPr>
                <w:rFonts w:hint="eastAsia" w:ascii="宋体" w:hAnsi="宋体" w:eastAsia="宋体" w:cs="宋体"/>
                <w:color w:val="000000"/>
                <w:sz w:val="24"/>
                <w:szCs w:val="24"/>
                <w:highlight w:val="none"/>
              </w:rPr>
              <w:t>分，未提供样品此项不得分。</w:t>
            </w:r>
          </w:p>
        </w:tc>
        <w:tc>
          <w:tcPr>
            <w:tcW w:w="168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没有提供样品或者样品提供不全，样品不得分。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w:t>
            </w:r>
          </w:p>
        </w:tc>
        <w:tc>
          <w:tcPr>
            <w:tcW w:w="1252"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项目</w:t>
            </w:r>
            <w:r>
              <w:rPr>
                <w:rFonts w:hint="eastAsia" w:ascii="宋体" w:hAnsi="宋体" w:eastAsia="宋体" w:cs="宋体"/>
                <w:color w:val="000000"/>
                <w:sz w:val="24"/>
                <w:szCs w:val="24"/>
                <w:highlight w:val="none"/>
              </w:rPr>
              <w:t>方案</w:t>
            </w: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w:t>
            </w:r>
          </w:p>
        </w:tc>
        <w:tc>
          <w:tcPr>
            <w:tcW w:w="83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分</w:t>
            </w:r>
          </w:p>
        </w:tc>
        <w:tc>
          <w:tcPr>
            <w:tcW w:w="4163" w:type="dxa"/>
            <w:tcBorders>
              <w:top w:val="single" w:color="auto" w:sz="4" w:space="0"/>
              <w:left w:val="nil"/>
              <w:bottom w:val="single" w:color="auto" w:sz="4" w:space="0"/>
              <w:right w:val="single" w:color="auto" w:sz="4" w:space="0"/>
            </w:tcBorders>
            <w:vAlign w:val="center"/>
          </w:tcPr>
          <w:p>
            <w:pPr>
              <w:numPr>
                <w:ilvl w:val="0"/>
                <w:numId w:val="0"/>
              </w:numP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根据供应商提供的服务方案：包含但不限于</w:t>
            </w:r>
            <w:r>
              <w:rPr>
                <w:rFonts w:hint="eastAsia" w:ascii="宋体" w:hAnsi="宋体" w:eastAsia="宋体" w:cs="宋体"/>
                <w:color w:val="000000"/>
                <w:sz w:val="24"/>
                <w:szCs w:val="24"/>
                <w:highlight w:val="none"/>
                <w:lang w:eastAsia="zh-CN"/>
              </w:rPr>
              <w:t>：</w:t>
            </w:r>
          </w:p>
          <w:p>
            <w:pPr>
              <w:numPr>
                <w:ilvl w:val="0"/>
                <w:numId w:val="0"/>
              </w:numPr>
              <w:spacing w:line="242" w:lineRule="auto"/>
              <w:ind w:left="107" w:right="97"/>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对供应商在响应文件中提供的项目实施方案根据本项目需求和特点，并对以下内容进行综合评审：</w:t>
            </w:r>
          </w:p>
          <w:p>
            <w:pPr>
              <w:numPr>
                <w:ilvl w:val="0"/>
                <w:numId w:val="0"/>
              </w:numPr>
              <w:tabs>
                <w:tab w:val="left" w:pos="725"/>
              </w:tabs>
              <w:spacing w:before="2" w:after="0" w:line="242" w:lineRule="auto"/>
              <w:ind w:left="107" w:right="95" w:firstLine="0"/>
              <w:jc w:val="both"/>
              <w:rPr>
                <w:rFonts w:hint="eastAsia" w:ascii="宋体" w:hAnsi="宋体" w:eastAsia="宋体" w:cs="宋体"/>
                <w:color w:val="000000"/>
                <w:sz w:val="24"/>
                <w:szCs w:val="24"/>
                <w:highlight w:val="none"/>
              </w:rPr>
            </w:pPr>
            <w:r>
              <w:rPr>
                <w:rFonts w:hint="eastAsia" w:ascii="宋体" w:hAnsi="宋体" w:eastAsia="宋体" w:cs="宋体"/>
                <w:color w:val="000000"/>
                <w:spacing w:val="0"/>
                <w:sz w:val="24"/>
                <w:szCs w:val="24"/>
                <w:highlight w:val="none"/>
              </w:rPr>
              <w:t xml:space="preserve">“项目组织实施方案”内容需包含：①项目实施进度及计划②具体实施方案细则③项目验收计划④突发应急措施方案及合理化建议的， 得 </w:t>
            </w: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pacing w:val="0"/>
                <w:sz w:val="24"/>
                <w:szCs w:val="24"/>
                <w:highlight w:val="none"/>
              </w:rPr>
              <w:t xml:space="preserve">分； 每缺一项或内容不符的扣 </w:t>
            </w:r>
            <w:r>
              <w:rPr>
                <w:rFonts w:hint="eastAsia" w:ascii="宋体" w:hAnsi="宋体" w:eastAsia="宋体" w:cs="宋体"/>
                <w:color w:val="000000"/>
                <w:spacing w:val="0"/>
                <w:sz w:val="24"/>
                <w:szCs w:val="24"/>
                <w:highlight w:val="none"/>
                <w:lang w:val="en-US" w:eastAsia="zh-CN"/>
              </w:rPr>
              <w:t>3</w:t>
            </w:r>
            <w:r>
              <w:rPr>
                <w:rFonts w:hint="eastAsia" w:ascii="宋体" w:hAnsi="宋体" w:eastAsia="宋体" w:cs="宋体"/>
                <w:color w:val="000000"/>
                <w:spacing w:val="0"/>
                <w:sz w:val="24"/>
                <w:szCs w:val="24"/>
                <w:highlight w:val="none"/>
              </w:rPr>
              <w:t xml:space="preserve"> 分，扣完为止；每一项内容不完整或与项目不相符的扣 </w:t>
            </w:r>
            <w:r>
              <w:rPr>
                <w:rFonts w:hint="eastAsia" w:ascii="宋体" w:hAnsi="宋体" w:eastAsia="宋体" w:cs="宋体"/>
                <w:color w:val="000000"/>
                <w:sz w:val="24"/>
                <w:szCs w:val="24"/>
                <w:highlight w:val="none"/>
              </w:rPr>
              <w:t>1</w:t>
            </w:r>
            <w:r>
              <w:rPr>
                <w:rFonts w:hint="eastAsia" w:ascii="宋体" w:hAnsi="宋体" w:eastAsia="宋体" w:cs="宋体"/>
                <w:color w:val="000000"/>
                <w:spacing w:val="0"/>
                <w:sz w:val="24"/>
                <w:szCs w:val="24"/>
                <w:highlight w:val="none"/>
              </w:rPr>
              <w:t xml:space="preserve"> 分。</w:t>
            </w: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numPr>
                <w:ilvl w:val="0"/>
                <w:numId w:val="0"/>
              </w:numPr>
              <w:ind w:leftChars="0"/>
              <w:rPr>
                <w:rFonts w:hint="eastAsia" w:ascii="宋体" w:hAnsi="宋体" w:eastAsia="宋体" w:cs="宋体"/>
                <w:color w:val="000000"/>
                <w:sz w:val="24"/>
                <w:szCs w:val="24"/>
                <w:highlight w:val="none"/>
              </w:rPr>
            </w:pPr>
          </w:p>
        </w:tc>
        <w:tc>
          <w:tcPr>
            <w:tcW w:w="168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6</w:t>
            </w:r>
          </w:p>
        </w:tc>
        <w:tc>
          <w:tcPr>
            <w:tcW w:w="1252"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品牌及信誉</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p>
        </w:tc>
        <w:tc>
          <w:tcPr>
            <w:tcW w:w="83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9分</w:t>
            </w:r>
          </w:p>
        </w:tc>
        <w:tc>
          <w:tcPr>
            <w:tcW w:w="4163" w:type="dxa"/>
            <w:tcBorders>
              <w:top w:val="single" w:color="auto" w:sz="4" w:space="0"/>
              <w:left w:val="nil"/>
              <w:bottom w:val="single" w:color="auto" w:sz="4" w:space="0"/>
              <w:right w:val="single" w:color="auto" w:sz="4" w:space="0"/>
            </w:tcBorders>
            <w:vAlign w:val="center"/>
          </w:tcPr>
          <w:p>
            <w:pPr>
              <w:pStyle w:val="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1、投标人或投标产品生产厂家获得质量管理体系认证证书得1分。未提供不得分</w:t>
            </w:r>
          </w:p>
          <w:p>
            <w:pPr>
              <w:pStyle w:val="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2、投标人或投标产品生产厂家具备职业健康安全管理体系认证证书得1分。未提供不得分</w:t>
            </w:r>
          </w:p>
          <w:p>
            <w:pPr>
              <w:pStyle w:val="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3、投标人或投标产品生产厂家具备环境管理体系认证证书得1分。（投标人须提供在“中国国家认证认可监督管理委员会网站”上的查询页面截图加盖公章），</w:t>
            </w:r>
            <w:r>
              <w:rPr>
                <w:rFonts w:hint="eastAsia" w:ascii="宋体" w:hAnsi="宋体" w:eastAsia="宋体" w:cs="宋体"/>
                <w:color w:val="000000"/>
                <w:sz w:val="24"/>
                <w:szCs w:val="24"/>
                <w:highlight w:val="none"/>
                <w:lang w:eastAsia="zh-CN"/>
              </w:rPr>
              <w:t>未</w:t>
            </w:r>
            <w:r>
              <w:rPr>
                <w:rFonts w:hint="eastAsia" w:ascii="宋体" w:hAnsi="宋体" w:eastAsia="宋体" w:cs="宋体"/>
                <w:color w:val="000000"/>
                <w:sz w:val="24"/>
                <w:szCs w:val="24"/>
                <w:highlight w:val="none"/>
              </w:rPr>
              <w:t>提供的不得分；</w:t>
            </w:r>
          </w:p>
          <w:p>
            <w:pPr>
              <w:pStyle w:val="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4、投标人或投标产品生产厂家具有GB/T 27922-2011售后服务认证证书，并取得不低于</w:t>
            </w:r>
            <w:r>
              <w:rPr>
                <w:rFonts w:hint="eastAsia" w:ascii="宋体" w:hAnsi="宋体" w:eastAsia="宋体" w:cs="宋体"/>
                <w:color w:val="000000"/>
                <w:sz w:val="24"/>
                <w:szCs w:val="24"/>
                <w:highlight w:val="none"/>
                <w:lang w:val="en-US" w:eastAsia="zh-CN"/>
              </w:rPr>
              <w:t>两</w:t>
            </w:r>
            <w:r>
              <w:rPr>
                <w:rFonts w:hint="eastAsia" w:ascii="宋体" w:hAnsi="宋体" w:eastAsia="宋体" w:cs="宋体"/>
                <w:color w:val="000000"/>
                <w:sz w:val="24"/>
                <w:szCs w:val="24"/>
                <w:highlight w:val="none"/>
              </w:rPr>
              <w:t>个符合高级售后服务管理师（SAMP）要求培训证书的得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分。未提供不得分</w:t>
            </w:r>
          </w:p>
          <w:p>
            <w:pPr>
              <w:pStyle w:val="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5、投标人或投标产品生产厂家具备企业资信等级3A级，有得1分，没有不得分。未提供不得分</w:t>
            </w:r>
          </w:p>
          <w:p>
            <w:pPr>
              <w:pStyle w:val="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6、投标人或投标产品生产厂家具备履行合同所需生产场地的证明材料，提供生产场地购买合同（或租赁合同）及生产场地所属投标人房产产权证得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分。未提供的不得分；</w:t>
            </w:r>
          </w:p>
          <w:p>
            <w:pPr>
              <w:pStyle w:val="6"/>
              <w:widowControl/>
              <w:shd w:val="clear" w:color="auto" w:fill="FFFFFF"/>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、投标人在新冠肺炎疫情期间被应急管理部门指定为保障应急医疗物资生产单位的得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（投标人需提供应急管理局</w:t>
            </w:r>
            <w:r>
              <w:rPr>
                <w:rFonts w:hint="eastAsia" w:ascii="宋体" w:hAnsi="宋体" w:eastAsia="宋体" w:cs="宋体"/>
                <w:color w:val="000000"/>
                <w:sz w:val="24"/>
                <w:szCs w:val="24"/>
                <w:highlight w:val="none"/>
                <w:lang w:val="en-US" w:eastAsia="zh-CN"/>
              </w:rPr>
              <w:t>发的文件或函</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。未提供的不得分；</w:t>
            </w:r>
          </w:p>
        </w:tc>
        <w:tc>
          <w:tcPr>
            <w:tcW w:w="168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1252"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社会责任2%</w:t>
            </w:r>
          </w:p>
        </w:tc>
        <w:tc>
          <w:tcPr>
            <w:tcW w:w="83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2分</w:t>
            </w:r>
          </w:p>
        </w:tc>
        <w:tc>
          <w:tcPr>
            <w:tcW w:w="4163" w:type="dxa"/>
            <w:tcBorders>
              <w:top w:val="single" w:color="auto" w:sz="4" w:space="0"/>
              <w:left w:val="nil"/>
              <w:bottom w:val="single" w:color="auto" w:sz="4" w:space="0"/>
              <w:right w:val="single" w:color="auto" w:sz="4" w:space="0"/>
            </w:tcBorders>
            <w:vAlign w:val="center"/>
          </w:tcPr>
          <w:p>
            <w:pPr>
              <w:spacing w:after="12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投标人为少数民族地区有不低于两次捐赠行为的得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eastAsia="zh-CN"/>
              </w:rPr>
              <w:t>（投标人需提供捐赠证书）</w:t>
            </w:r>
            <w:r>
              <w:rPr>
                <w:rFonts w:hint="eastAsia" w:ascii="宋体" w:hAnsi="宋体" w:eastAsia="宋体" w:cs="宋体"/>
                <w:color w:val="000000"/>
                <w:sz w:val="24"/>
                <w:szCs w:val="24"/>
                <w:highlight w:val="none"/>
              </w:rPr>
              <w:t>。未提供的不得分；</w:t>
            </w:r>
          </w:p>
        </w:tc>
        <w:tc>
          <w:tcPr>
            <w:tcW w:w="168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000000"/>
                <w:sz w:val="24"/>
                <w:szCs w:val="24"/>
                <w:highlight w:val="none"/>
              </w:rPr>
            </w:pPr>
          </w:p>
        </w:tc>
      </w:tr>
    </w:tbl>
    <w:p>
      <w:pPr>
        <w:pStyle w:val="2"/>
        <w:rPr>
          <w:rFonts w:hint="eastAsia"/>
        </w:rPr>
      </w:pPr>
    </w:p>
    <w:p>
      <w:pPr>
        <w:spacing w:line="440" w:lineRule="exact"/>
        <w:ind w:firstLine="480" w:firstLineChars="200"/>
        <w:jc w:val="left"/>
        <w:rPr>
          <w:rFonts w:hint="eastAsia" w:ascii="宋体" w:hAnsi="宋体" w:eastAsia="宋体" w:cs="宋体"/>
          <w:sz w:val="24"/>
          <w:szCs w:val="24"/>
          <w:highlight w:val="yellow"/>
          <w:lang w:val="en-US" w:eastAsia="zh-CN"/>
        </w:rPr>
      </w:pPr>
    </w:p>
    <w:p>
      <w:pPr>
        <w:rPr>
          <w:rFonts w:hint="eastAsia" w:ascii="宋体" w:hAnsi="宋体" w:eastAsia="宋体" w:cs="宋体"/>
          <w:sz w:val="24"/>
          <w:szCs w:val="24"/>
        </w:rPr>
        <w:sectPr>
          <w:headerReference r:id="rId3" w:type="default"/>
          <w:pgSz w:w="11906" w:h="16838"/>
          <w:pgMar w:top="1440" w:right="1800" w:bottom="1440" w:left="1800" w:header="851" w:footer="992" w:gutter="0"/>
          <w:cols w:space="720" w:num="1"/>
          <w:docGrid w:type="lines" w:linePitch="312" w:charSpace="0"/>
        </w:sectPr>
      </w:pPr>
    </w:p>
    <w:bookmarkEnd w:id="3"/>
    <w:bookmarkEnd w:id="4"/>
    <w:bookmarkEnd w:id="5"/>
    <w:bookmarkEnd w:id="6"/>
    <w:p>
      <w:pPr>
        <w:pStyle w:val="10"/>
        <w:keepNext w:val="0"/>
        <w:keepLines w:val="0"/>
        <w:widowControl/>
        <w:suppressLineNumbers w:val="0"/>
        <w:ind w:left="0" w:firstLine="0"/>
        <w:jc w:val="both"/>
        <w:rPr>
          <w:rFonts w:hint="eastAsia" w:ascii="黑体" w:hAnsi="黑体" w:eastAsia="黑体" w:cs="黑体"/>
          <w:b/>
          <w:bCs/>
          <w:i w:val="0"/>
          <w:caps w:val="0"/>
          <w:color w:val="000000"/>
          <w:spacing w:val="0"/>
          <w:sz w:val="32"/>
          <w:szCs w:val="32"/>
          <w:lang w:val="en-US" w:eastAsia="zh-CN"/>
        </w:rPr>
      </w:pPr>
      <w:r>
        <w:rPr>
          <w:rFonts w:hint="eastAsia" w:ascii="黑体" w:hAnsi="黑体" w:eastAsia="黑体" w:cs="黑体"/>
          <w:b/>
          <w:bCs/>
          <w:i w:val="0"/>
          <w:caps w:val="0"/>
          <w:color w:val="000000"/>
          <w:spacing w:val="0"/>
          <w:sz w:val="32"/>
          <w:szCs w:val="32"/>
        </w:rPr>
        <w:t>附件</w:t>
      </w:r>
      <w:r>
        <w:rPr>
          <w:rFonts w:hint="eastAsia" w:ascii="黑体" w:hAnsi="黑体" w:eastAsia="黑体" w:cs="黑体"/>
          <w:b/>
          <w:bCs/>
          <w:i w:val="0"/>
          <w:caps w:val="0"/>
          <w:color w:val="000000"/>
          <w:spacing w:val="0"/>
          <w:sz w:val="32"/>
          <w:szCs w:val="32"/>
          <w:lang w:val="en-US" w:eastAsia="zh-CN"/>
        </w:rPr>
        <w:t>2 主要表格格式</w:t>
      </w:r>
    </w:p>
    <w:p>
      <w:pPr>
        <w:pStyle w:val="3"/>
        <w:pageBreakBefore w:val="0"/>
        <w:kinsoku/>
        <w:wordWrap/>
        <w:overflowPunct/>
        <w:topLinePunct w:val="0"/>
        <w:autoSpaceDE/>
        <w:autoSpaceDN/>
        <w:bidi w:val="0"/>
        <w:spacing w:line="360" w:lineRule="auto"/>
        <w:textAlignment w:val="auto"/>
        <w:rPr>
          <w:rFonts w:hint="eastAsia" w:ascii="宋体" w:hAnsi="宋体" w:eastAsia="宋体" w:cs="宋体"/>
          <w:b/>
          <w:bCs/>
          <w:color w:val="000000"/>
          <w:kern w:val="0"/>
          <w:sz w:val="24"/>
          <w:szCs w:val="24"/>
          <w:lang w:val="en-US" w:eastAsia="zh-CN"/>
        </w:rPr>
      </w:pPr>
    </w:p>
    <w:p>
      <w:pPr>
        <w:pStyle w:val="3"/>
        <w:pageBreakBefore w:val="0"/>
        <w:kinsoku/>
        <w:wordWrap/>
        <w:overflowPunct/>
        <w:topLinePunct w:val="0"/>
        <w:autoSpaceDE/>
        <w:autoSpaceDN/>
        <w:bidi w:val="0"/>
        <w:spacing w:line="360" w:lineRule="auto"/>
        <w:textAlignment w:val="auto"/>
        <w:rPr>
          <w:rFonts w:hint="eastAsia" w:ascii="宋体" w:hAnsi="宋体" w:eastAsia="宋体" w:cs="宋体"/>
          <w:b/>
          <w:bCs/>
          <w:color w:val="000000"/>
          <w:kern w:val="0"/>
          <w:sz w:val="24"/>
          <w:szCs w:val="24"/>
          <w:lang w:val="en-US" w:eastAsia="zh-CN"/>
        </w:rPr>
      </w:pPr>
    </w:p>
    <w:p>
      <w:pPr>
        <w:pageBreakBefore w:val="0"/>
        <w:kinsoku/>
        <w:wordWrap/>
        <w:overflowPunct/>
        <w:topLinePunct w:val="0"/>
        <w:autoSpaceDE/>
        <w:autoSpaceDN/>
        <w:bidi w:val="0"/>
        <w:spacing w:line="360" w:lineRule="auto"/>
        <w:ind w:right="480"/>
        <w:jc w:val="center"/>
        <w:textAlignment w:val="auto"/>
        <w:rPr>
          <w:rFonts w:hint="eastAsia" w:ascii="宋体" w:hAnsi="宋体" w:eastAsia="宋体" w:cs="宋体"/>
          <w:b/>
          <w:sz w:val="24"/>
          <w:szCs w:val="24"/>
          <w:u w:val="single"/>
        </w:rPr>
      </w:pPr>
      <w:r>
        <w:rPr>
          <w:rFonts w:hint="eastAsia" w:ascii="宋体" w:hAnsi="宋体" w:eastAsia="宋体" w:cs="宋体"/>
          <w:b/>
          <w:sz w:val="24"/>
          <w:szCs w:val="24"/>
          <w:u w:val="single"/>
        </w:rPr>
        <w:t>法定代表人授权书</w:t>
      </w: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Style w:val="7"/>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pPr>
        <w:pStyle w:val="7"/>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sz w:val="24"/>
          <w:szCs w:val="24"/>
        </w:rPr>
      </w:pPr>
    </w:p>
    <w:p>
      <w:pPr>
        <w:pStyle w:val="7"/>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本授权声明：XXX（单位名称）,XXX（法定代表人姓名、职务）授权XXX                   （被授权人姓名、职务）为我方参加XXX项目（采购编号：XXX）采购活动的合法代表，以我方名义全权处理该项目有关磋商、报价、签订合同以及执行合同等一切事宜。</w:t>
      </w:r>
    </w:p>
    <w:p>
      <w:pPr>
        <w:pStyle w:val="7"/>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360" w:lineRule="auto"/>
        <w:ind w:firstLine="470" w:firstLineChars="196"/>
        <w:textAlignment w:val="auto"/>
        <w:outlineLvl w:val="1"/>
        <w:rPr>
          <w:rFonts w:hint="eastAsia" w:ascii="宋体" w:hAnsi="宋体" w:eastAsia="宋体" w:cs="宋体"/>
          <w:sz w:val="24"/>
          <w:szCs w:val="24"/>
        </w:rPr>
      </w:pPr>
      <w:r>
        <w:rPr>
          <w:rFonts w:hint="eastAsia" w:ascii="宋体" w:hAnsi="宋体" w:eastAsia="宋体" w:cs="宋体"/>
          <w:sz w:val="24"/>
          <w:szCs w:val="24"/>
        </w:rPr>
        <w:t>法定代表人签字或盖法定代表人名章：</w:t>
      </w:r>
    </w:p>
    <w:p>
      <w:pPr>
        <w:pageBreakBefore w:val="0"/>
        <w:kinsoku/>
        <w:wordWrap/>
        <w:overflowPunct/>
        <w:topLinePunct w:val="0"/>
        <w:autoSpaceDE/>
        <w:autoSpaceDN/>
        <w:bidi w:val="0"/>
        <w:spacing w:line="360" w:lineRule="auto"/>
        <w:ind w:firstLine="480" w:firstLineChars="200"/>
        <w:textAlignment w:val="auto"/>
        <w:outlineLvl w:val="5"/>
        <w:rPr>
          <w:rFonts w:hint="eastAsia" w:ascii="宋体" w:hAnsi="宋体" w:eastAsia="宋体" w:cs="宋体"/>
          <w:sz w:val="24"/>
          <w:szCs w:val="24"/>
        </w:rPr>
      </w:pPr>
      <w:r>
        <w:rPr>
          <w:rFonts w:hint="eastAsia" w:ascii="宋体" w:hAnsi="宋体" w:eastAsia="宋体" w:cs="宋体"/>
          <w:sz w:val="24"/>
          <w:szCs w:val="24"/>
        </w:rPr>
        <w:t>授权代表人（签字）：</w:t>
      </w:r>
    </w:p>
    <w:p>
      <w:pPr>
        <w:pageBreakBefore w:val="0"/>
        <w:kinsoku/>
        <w:wordWrap/>
        <w:overflowPunct/>
        <w:topLinePunct w:val="0"/>
        <w:autoSpaceDE/>
        <w:autoSpaceDN/>
        <w:bidi w:val="0"/>
        <w:spacing w:line="360" w:lineRule="auto"/>
        <w:ind w:firstLine="480" w:firstLineChars="200"/>
        <w:textAlignment w:val="auto"/>
        <w:outlineLvl w:val="5"/>
        <w:rPr>
          <w:rFonts w:hint="eastAsia" w:ascii="宋体" w:hAnsi="宋体" w:eastAsia="宋体" w:cs="宋体"/>
          <w:sz w:val="24"/>
          <w:szCs w:val="24"/>
        </w:rPr>
      </w:pPr>
      <w:r>
        <w:rPr>
          <w:rFonts w:hint="eastAsia" w:ascii="宋体" w:hAnsi="宋体" w:eastAsia="宋体" w:cs="宋体"/>
          <w:sz w:val="24"/>
          <w:szCs w:val="24"/>
        </w:rPr>
        <w:t>供应商名称：         （盖单位公章）</w:t>
      </w:r>
    </w:p>
    <w:p>
      <w:pPr>
        <w:pageBreakBefore w:val="0"/>
        <w:kinsoku/>
        <w:wordWrap/>
        <w:overflowPunct/>
        <w:topLinePunct w:val="0"/>
        <w:autoSpaceDE/>
        <w:autoSpaceDN/>
        <w:bidi w:val="0"/>
        <w:spacing w:line="360" w:lineRule="auto"/>
        <w:ind w:firstLine="480" w:firstLineChars="200"/>
        <w:textAlignment w:val="auto"/>
        <w:outlineLvl w:val="5"/>
        <w:rPr>
          <w:rFonts w:hint="eastAsia" w:ascii="宋体" w:hAnsi="宋体" w:eastAsia="宋体" w:cs="宋体"/>
          <w:sz w:val="24"/>
          <w:szCs w:val="24"/>
        </w:rPr>
      </w:pPr>
      <w:r>
        <w:rPr>
          <w:rFonts w:hint="eastAsia" w:ascii="宋体" w:hAnsi="宋体" w:eastAsia="宋体" w:cs="宋体"/>
          <w:sz w:val="24"/>
          <w:szCs w:val="24"/>
        </w:rPr>
        <w:t>日    期：</w:t>
      </w: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b/>
          <w:sz w:val="24"/>
          <w:szCs w:val="24"/>
        </w:rPr>
      </w:pP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b/>
          <w:sz w:val="24"/>
          <w:szCs w:val="24"/>
        </w:rPr>
      </w:pPr>
    </w:p>
    <w:p>
      <w:pPr>
        <w:pageBreakBefore w:val="0"/>
        <w:kinsoku/>
        <w:wordWrap/>
        <w:overflowPunct/>
        <w:topLinePunct w:val="0"/>
        <w:autoSpaceDE/>
        <w:autoSpaceDN/>
        <w:bidi w:val="0"/>
        <w:spacing w:line="360" w:lineRule="auto"/>
        <w:textAlignment w:val="auto"/>
        <w:outlineLvl w:val="5"/>
        <w:rPr>
          <w:rFonts w:hint="eastAsia" w:ascii="宋体" w:hAnsi="宋体" w:eastAsia="宋体" w:cs="宋体"/>
          <w:bCs/>
          <w:sz w:val="24"/>
          <w:szCs w:val="24"/>
        </w:rPr>
      </w:pPr>
      <w:r>
        <w:rPr>
          <w:rFonts w:hint="eastAsia" w:ascii="宋体" w:hAnsi="宋体" w:eastAsia="宋体" w:cs="宋体"/>
          <w:bCs/>
          <w:sz w:val="24"/>
          <w:szCs w:val="24"/>
        </w:rPr>
        <w:t>注：（1）法定代表人不参与磋商而委托代理人磋商适用。</w:t>
      </w:r>
    </w:p>
    <w:p>
      <w:pPr>
        <w:pageBreakBefore w:val="0"/>
        <w:kinsoku/>
        <w:wordWrap/>
        <w:overflowPunct/>
        <w:topLinePunct w:val="0"/>
        <w:autoSpaceDE/>
        <w:autoSpaceDN/>
        <w:bidi w:val="0"/>
        <w:spacing w:line="360" w:lineRule="auto"/>
        <w:ind w:firstLine="360" w:firstLineChars="150"/>
        <w:textAlignment w:val="auto"/>
        <w:outlineLvl w:val="5"/>
        <w:rPr>
          <w:rFonts w:hint="eastAsia" w:ascii="宋体" w:hAnsi="宋体" w:eastAsia="宋体" w:cs="宋体"/>
          <w:bCs/>
          <w:sz w:val="24"/>
          <w:szCs w:val="24"/>
        </w:rPr>
      </w:pPr>
      <w:r>
        <w:rPr>
          <w:rFonts w:hint="eastAsia" w:ascii="宋体" w:hAnsi="宋体" w:eastAsia="宋体" w:cs="宋体"/>
          <w:bCs/>
          <w:sz w:val="24"/>
          <w:szCs w:val="24"/>
        </w:rPr>
        <w:t xml:space="preserve"> （2）附法定代表人、授权代表身份证复印件（</w:t>
      </w:r>
      <w:r>
        <w:rPr>
          <w:rFonts w:hint="eastAsia" w:ascii="宋体" w:hAnsi="宋体" w:eastAsia="宋体" w:cs="宋体"/>
          <w:sz w:val="24"/>
          <w:szCs w:val="24"/>
        </w:rPr>
        <w:t>提供其在有效期的材料，居民身份证正、反面复印件</w:t>
      </w:r>
      <w:r>
        <w:rPr>
          <w:rFonts w:hint="eastAsia" w:ascii="宋体" w:hAnsi="宋体" w:eastAsia="宋体" w:cs="宋体"/>
          <w:bCs/>
          <w:sz w:val="24"/>
          <w:szCs w:val="24"/>
        </w:rPr>
        <w:t>）加盖供应商公章。</w:t>
      </w:r>
    </w:p>
    <w:p>
      <w:pPr>
        <w:pageBreakBefore w:val="0"/>
        <w:widowControl/>
        <w:kinsoku/>
        <w:wordWrap/>
        <w:overflowPunct/>
        <w:topLinePunct w:val="0"/>
        <w:autoSpaceDE/>
        <w:autoSpaceDN/>
        <w:bidi w:val="0"/>
        <w:spacing w:line="360" w:lineRule="auto"/>
        <w:jc w:val="left"/>
        <w:textAlignment w:val="auto"/>
        <w:rPr>
          <w:rFonts w:hint="eastAsia" w:ascii="宋体" w:hAnsi="宋体" w:eastAsia="宋体" w:cs="宋体"/>
          <w:sz w:val="24"/>
          <w:szCs w:val="24"/>
        </w:rPr>
      </w:pP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Style w:val="5"/>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szCs w:val="24"/>
          <w:u w:val="single"/>
        </w:rPr>
      </w:pPr>
      <w:r>
        <w:rPr>
          <w:rFonts w:hint="eastAsia" w:ascii="宋体" w:hAnsi="宋体" w:eastAsia="宋体" w:cs="宋体"/>
          <w:sz w:val="24"/>
          <w:szCs w:val="24"/>
          <w:u w:val="single"/>
        </w:rPr>
        <w:t>××××项目</w:t>
      </w:r>
    </w:p>
    <w:p>
      <w:pPr>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报价一览表</w:t>
      </w:r>
    </w:p>
    <w:p>
      <w:pPr>
        <w:pageBreakBefore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684"/>
        <w:gridCol w:w="1031"/>
        <w:gridCol w:w="1984"/>
        <w:gridCol w:w="156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单价（万元）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金额（万元）</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合计</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tc>
      </w:tr>
    </w:tbl>
    <w:p>
      <w:pPr>
        <w:pageBreakBefore w:val="0"/>
        <w:kinsoku/>
        <w:wordWrap/>
        <w:overflowPunct/>
        <w:topLinePunct w:val="0"/>
        <w:autoSpaceDE/>
        <w:autoSpaceDN/>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注：1.报价应是最终用户验收合格后的总价，税费、采购文件规定的其它费用。</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2.“报价一览表”为多页的，每页均需由法定代表人或授权代表签字并盖投标人印章。</w:t>
      </w:r>
    </w:p>
    <w:p>
      <w:pPr>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3.“报价一览表”需单独密封。</w:t>
      </w:r>
    </w:p>
    <w:p>
      <w:pPr>
        <w:pageBreakBefore w:val="0"/>
        <w:kinsoku/>
        <w:wordWrap/>
        <w:overflowPunct/>
        <w:topLinePunct w:val="0"/>
        <w:autoSpaceDE/>
        <w:autoSpaceDN/>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供应商名称（盖章）：        </w:t>
      </w:r>
    </w:p>
    <w:p>
      <w:pPr>
        <w:pageBreakBefore w:val="0"/>
        <w:kinsoku/>
        <w:wordWrap/>
        <w:overflowPunct/>
        <w:topLinePunct w:val="0"/>
        <w:autoSpaceDE/>
        <w:autoSpaceDN/>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w:t>
      </w:r>
      <w:r>
        <w:rPr>
          <w:rFonts w:hint="eastAsia" w:ascii="宋体" w:hAnsi="宋体" w:eastAsia="宋体" w:cs="宋体"/>
          <w:bCs/>
          <w:sz w:val="24"/>
          <w:szCs w:val="24"/>
        </w:rPr>
        <w:t>联系方式：</w:t>
      </w:r>
      <w:r>
        <w:rPr>
          <w:rFonts w:hint="eastAsia" w:ascii="宋体" w:hAnsi="宋体" w:eastAsia="宋体" w:cs="宋体"/>
          <w:bCs/>
          <w:sz w:val="24"/>
          <w:szCs w:val="24"/>
          <w:u w:val="single"/>
        </w:rPr>
        <w:t xml:space="preserve">        </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sz w:val="24"/>
          <w:szCs w:val="24"/>
        </w:rPr>
        <w:t>日期：</w:t>
      </w:r>
    </w:p>
    <w:p>
      <w:pPr>
        <w:pageBreakBefore w:val="0"/>
        <w:kinsoku/>
        <w:wordWrap/>
        <w:overflowPunct/>
        <w:topLinePunct w:val="0"/>
        <w:autoSpaceDE/>
        <w:autoSpaceDN/>
        <w:bidi w:val="0"/>
        <w:spacing w:line="360" w:lineRule="auto"/>
        <w:textAlignment w:val="auto"/>
        <w:rPr>
          <w:rFonts w:hint="eastAsia" w:ascii="宋体" w:hAnsi="宋体" w:eastAsia="宋体" w:cs="宋体"/>
          <w:bCs/>
          <w:sz w:val="24"/>
          <w:szCs w:val="24"/>
          <w:u w:val="single"/>
        </w:rPr>
      </w:pPr>
    </w:p>
    <w:p>
      <w:pPr>
        <w:pageBreakBefore w:val="0"/>
        <w:kinsoku/>
        <w:wordWrap/>
        <w:overflowPunct/>
        <w:topLinePunct w:val="0"/>
        <w:autoSpaceDE/>
        <w:autoSpaceDN/>
        <w:bidi w:val="0"/>
        <w:spacing w:line="360" w:lineRule="auto"/>
        <w:textAlignment w:val="auto"/>
        <w:rPr>
          <w:rFonts w:hint="eastAsia" w:ascii="宋体" w:hAnsi="宋体" w:eastAsia="宋体" w:cs="宋体"/>
          <w:bCs/>
          <w:sz w:val="24"/>
          <w:szCs w:val="24"/>
          <w:u w:val="single"/>
        </w:rPr>
      </w:pPr>
    </w:p>
    <w:p>
      <w:pPr>
        <w:pStyle w:val="3"/>
        <w:pageBreakBefore w:val="0"/>
        <w:kinsoku/>
        <w:wordWrap/>
        <w:overflowPunct/>
        <w:topLinePunct w:val="0"/>
        <w:autoSpaceDE/>
        <w:autoSpaceDN/>
        <w:bidi w:val="0"/>
        <w:spacing w:line="360" w:lineRule="auto"/>
        <w:jc w:val="both"/>
        <w:textAlignment w:val="auto"/>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5"/>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5"/>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5"/>
        <w:rPr>
          <w:rFonts w:hint="eastAsia" w:ascii="宋体" w:hAnsi="宋体" w:eastAsia="宋体" w:cs="宋体"/>
          <w:b/>
          <w:bCs/>
          <w:sz w:val="24"/>
          <w:szCs w:val="24"/>
          <w:lang w:val="en-US" w:eastAsia="zh-CN"/>
        </w:rPr>
      </w:pPr>
    </w:p>
    <w:p>
      <w:pPr>
        <w:rPr>
          <w:rFonts w:hint="eastAsia"/>
          <w:lang w:val="en-US" w:eastAsia="zh-CN"/>
        </w:rPr>
      </w:pPr>
    </w:p>
    <w:p>
      <w:pPr>
        <w:pStyle w:val="5"/>
        <w:rPr>
          <w:rFonts w:hint="eastAsia"/>
          <w:lang w:val="en-US" w:eastAsia="zh-CN"/>
        </w:rPr>
      </w:pPr>
    </w:p>
    <w:p>
      <w:pPr>
        <w:pStyle w:val="3"/>
        <w:pageBreakBefore w:val="0"/>
        <w:kinsoku/>
        <w:wordWrap/>
        <w:overflowPunct/>
        <w:topLinePunct w:val="0"/>
        <w:autoSpaceDE/>
        <w:autoSpaceDN/>
        <w:bidi w:val="0"/>
        <w:spacing w:line="360" w:lineRule="auto"/>
        <w:jc w:val="center"/>
        <w:textAlignment w:val="auto"/>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无围标、串标行为承诺书</w:t>
      </w:r>
    </w:p>
    <w:p>
      <w:pPr>
        <w:rPr>
          <w:rFonts w:hint="eastAsia"/>
          <w:color w:val="auto"/>
          <w:sz w:val="24"/>
          <w:szCs w:val="24"/>
          <w:lang w:val="en-US" w:eastAsia="zh-CN"/>
        </w:rPr>
      </w:pPr>
    </w:p>
    <w:p>
      <w:pPr>
        <w:pageBreakBefore w:val="0"/>
        <w:kinsoku/>
        <w:wordWrap/>
        <w:overflowPunct/>
        <w:topLinePunct w:val="0"/>
        <w:autoSpaceDE/>
        <w:autoSpaceDN/>
        <w:bidi w:val="0"/>
        <w:spacing w:line="36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2.不同供应商委托同一单位或者个人办理投标事宜；</w:t>
      </w:r>
    </w:p>
    <w:p>
      <w:pPr>
        <w:pStyle w:val="3"/>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4.不同供应商的投标文件异常一致或者投标报价呈规律性差异；</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7.不同供应商的董事、监事、高管、单位负责人为同一人或者存在控股、管理关系的不同单位参加同一采购项目；</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8.供应商之间事先约定由某一特定供应商中标、成交；</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9.供应商之间商定部分供应商放弃参加采购活动或者放弃中标、成交；</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10.法律法规界定的其他围标串标行为。</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3"/>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lang w:val="en-US" w:eastAsia="zh-CN"/>
        </w:rPr>
      </w:pP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投标人法人代表或委托代理人（承诺人） ：</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投标人：（公章）  </w:t>
      </w:r>
    </w:p>
    <w:p>
      <w:pPr>
        <w:pStyle w:val="3"/>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pStyle w:val="10"/>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p>
    <w:p>
      <w:pPr>
        <w:pStyle w:val="10"/>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p>
    <w:p>
      <w:pPr>
        <w:pStyle w:val="10"/>
        <w:keepNext w:val="0"/>
        <w:keepLines w:val="0"/>
        <w:pageBreakBefore w:val="0"/>
        <w:widowControl/>
        <w:suppressLineNumbers w:val="0"/>
        <w:kinsoku/>
        <w:wordWrap/>
        <w:overflowPunct/>
        <w:topLinePunct w:val="0"/>
        <w:autoSpaceDE/>
        <w:autoSpaceDN/>
        <w:bidi w:val="0"/>
        <w:spacing w:line="360" w:lineRule="auto"/>
        <w:ind w:left="0" w:firstLine="0"/>
        <w:jc w:val="both"/>
        <w:textAlignment w:val="auto"/>
        <w:rPr>
          <w:rFonts w:hint="eastAsia" w:ascii="宋体" w:hAnsi="宋体" w:eastAsia="宋体" w:cs="宋体"/>
          <w:i w:val="0"/>
          <w:caps w:val="0"/>
          <w:color w:val="000000"/>
          <w:spacing w:val="0"/>
          <w:sz w:val="24"/>
          <w:szCs w:val="24"/>
        </w:rPr>
      </w:pPr>
    </w:p>
    <w:p>
      <w:pPr>
        <w:pageBreakBefore w:val="0"/>
        <w:kinsoku/>
        <w:wordWrap/>
        <w:overflowPunct/>
        <w:topLinePunct w:val="0"/>
        <w:autoSpaceDE/>
        <w:autoSpaceDN/>
        <w:bidi w:val="0"/>
        <w:spacing w:line="360" w:lineRule="auto"/>
        <w:textAlignment w:val="auto"/>
        <w:rPr>
          <w:rFonts w:hint="eastAsia" w:ascii="黑体" w:hAnsi="黑体" w:eastAsia="黑体" w:cs="黑体"/>
          <w:b/>
          <w:bCs/>
          <w:i w:val="0"/>
          <w:caps w:val="0"/>
          <w:color w:val="000000"/>
          <w:spacing w:val="0"/>
          <w:kern w:val="0"/>
          <w:sz w:val="32"/>
          <w:szCs w:val="32"/>
          <w:lang w:val="en-US" w:eastAsia="zh-CN" w:bidi="ar"/>
        </w:rPr>
      </w:pPr>
    </w:p>
    <w:p>
      <w:pPr>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rPr>
      </w:pPr>
      <w:r>
        <w:rPr>
          <w:rFonts w:hint="eastAsia" w:ascii="黑体" w:hAnsi="黑体" w:eastAsia="黑体" w:cs="黑体"/>
          <w:b/>
          <w:bCs/>
          <w:i w:val="0"/>
          <w:caps w:val="0"/>
          <w:color w:val="000000"/>
          <w:spacing w:val="0"/>
          <w:kern w:val="0"/>
          <w:sz w:val="32"/>
          <w:szCs w:val="32"/>
          <w:lang w:val="en-US" w:eastAsia="zh-CN" w:bidi="ar"/>
        </w:rPr>
        <w:t>附件3 采购投标文件装订顺序</w:t>
      </w: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p>
    <w:p>
      <w:pPr>
        <w:pageBreakBefore w:val="0"/>
        <w:numPr>
          <w:ilvl w:val="0"/>
          <w:numId w:val="2"/>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1</w:t>
      </w:r>
      <w:r>
        <w:rPr>
          <w:rFonts w:hint="eastAsia" w:ascii="宋体" w:hAnsi="宋体" w:cs="宋体"/>
          <w:bCs/>
          <w:color w:val="000000"/>
          <w:spacing w:val="8"/>
          <w:sz w:val="24"/>
          <w:szCs w:val="24"/>
          <w:lang w:val="en-US" w:eastAsia="zh-CN"/>
        </w:rPr>
        <w:t>.</w:t>
      </w:r>
      <w:r>
        <w:rPr>
          <w:rFonts w:hint="eastAsia" w:ascii="宋体" w:hAnsi="宋体" w:eastAsia="宋体" w:cs="宋体"/>
          <w:bCs/>
          <w:color w:val="000000"/>
          <w:spacing w:val="8"/>
          <w:sz w:val="24"/>
          <w:szCs w:val="24"/>
        </w:rPr>
        <w:t>封面（公司、项目、联系人、联系方式）；</w:t>
      </w:r>
    </w:p>
    <w:p>
      <w:pPr>
        <w:pageBreakBefore w:val="0"/>
        <w:numPr>
          <w:ilvl w:val="0"/>
          <w:numId w:val="2"/>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2</w:t>
      </w:r>
      <w:r>
        <w:rPr>
          <w:rFonts w:hint="eastAsia" w:ascii="宋体" w:hAnsi="宋体" w:cs="宋体"/>
          <w:bCs/>
          <w:color w:val="000000"/>
          <w:spacing w:val="8"/>
          <w:sz w:val="24"/>
          <w:szCs w:val="24"/>
          <w:lang w:val="en-US" w:eastAsia="zh-CN"/>
        </w:rPr>
        <w:t>.</w:t>
      </w:r>
      <w:r>
        <w:rPr>
          <w:rFonts w:hint="eastAsia" w:ascii="宋体" w:hAnsi="宋体" w:eastAsia="宋体" w:cs="宋体"/>
          <w:bCs/>
          <w:color w:val="000000"/>
          <w:spacing w:val="8"/>
          <w:sz w:val="24"/>
          <w:szCs w:val="24"/>
        </w:rPr>
        <w:t>目录；</w:t>
      </w:r>
    </w:p>
    <w:p>
      <w:pPr>
        <w:pageBreakBefore w:val="0"/>
        <w:numPr>
          <w:ilvl w:val="0"/>
          <w:numId w:val="2"/>
        </w:numPr>
        <w:kinsoku/>
        <w:wordWrap/>
        <w:overflowPunct/>
        <w:topLinePunct w:val="0"/>
        <w:autoSpaceDE/>
        <w:autoSpaceDN/>
        <w:bidi w:val="0"/>
        <w:adjustRightInd w:val="0"/>
        <w:spacing w:line="360" w:lineRule="auto"/>
        <w:ind w:left="420" w:leftChars="0" w:hanging="420" w:firstLineChars="0"/>
        <w:jc w:val="both"/>
        <w:textAlignment w:val="auto"/>
        <w:rPr>
          <w:rFonts w:hint="eastAsia" w:ascii="宋体" w:hAnsi="宋体" w:eastAsia="宋体" w:cs="宋体"/>
          <w:b/>
          <w:sz w:val="24"/>
          <w:szCs w:val="24"/>
        </w:rPr>
      </w:pPr>
      <w:r>
        <w:rPr>
          <w:rFonts w:hint="eastAsia" w:ascii="宋体" w:hAnsi="宋体" w:eastAsia="宋体" w:cs="宋体"/>
          <w:bCs/>
          <w:spacing w:val="8"/>
          <w:sz w:val="24"/>
          <w:szCs w:val="24"/>
        </w:rPr>
        <w:t>3</w:t>
      </w:r>
      <w:r>
        <w:rPr>
          <w:rFonts w:hint="eastAsia" w:ascii="宋体" w:hAnsi="宋体" w:cs="宋体"/>
          <w:bCs/>
          <w:spacing w:val="8"/>
          <w:sz w:val="24"/>
          <w:szCs w:val="24"/>
          <w:lang w:val="en-US" w:eastAsia="zh-CN"/>
        </w:rPr>
        <w:t>.</w:t>
      </w:r>
      <w:r>
        <w:rPr>
          <w:rFonts w:hint="eastAsia" w:ascii="宋体" w:hAnsi="宋体" w:eastAsia="宋体" w:cs="宋体"/>
          <w:sz w:val="24"/>
          <w:szCs w:val="24"/>
        </w:rPr>
        <w:t>报价一览表；</w:t>
      </w:r>
    </w:p>
    <w:p>
      <w:pPr>
        <w:pageBreakBefore w:val="0"/>
        <w:numPr>
          <w:ilvl w:val="0"/>
          <w:numId w:val="2"/>
        </w:numPr>
        <w:kinsoku/>
        <w:wordWrap/>
        <w:overflowPunct/>
        <w:topLinePunct w:val="0"/>
        <w:autoSpaceDE/>
        <w:autoSpaceDN/>
        <w:bidi w:val="0"/>
        <w:adjustRightInd w:val="0"/>
        <w:spacing w:line="360" w:lineRule="auto"/>
        <w:ind w:left="420" w:leftChars="0" w:hanging="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企业营业执照（复印件）；</w:t>
      </w:r>
    </w:p>
    <w:p>
      <w:pPr>
        <w:pageBreakBefore w:val="0"/>
        <w:numPr>
          <w:ilvl w:val="0"/>
          <w:numId w:val="2"/>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供应商资质；</w:t>
      </w:r>
    </w:p>
    <w:p>
      <w:pPr>
        <w:pageBreakBefore w:val="0"/>
        <w:numPr>
          <w:ilvl w:val="0"/>
          <w:numId w:val="2"/>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禁止围标、串标情况承诺函；</w:t>
      </w:r>
    </w:p>
    <w:p>
      <w:pPr>
        <w:pageBreakBefore w:val="0"/>
        <w:numPr>
          <w:ilvl w:val="0"/>
          <w:numId w:val="2"/>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color w:val="FF0000"/>
          <w:sz w:val="24"/>
          <w:szCs w:val="24"/>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bCs/>
          <w:sz w:val="24"/>
          <w:szCs w:val="24"/>
        </w:rPr>
        <w:t>如有</w:t>
      </w:r>
      <w:r>
        <w:rPr>
          <w:rFonts w:hint="eastAsia" w:ascii="宋体" w:hAnsi="宋体" w:eastAsia="宋体" w:cs="宋体"/>
          <w:sz w:val="24"/>
          <w:szCs w:val="24"/>
        </w:rPr>
        <w:t>企业管理体系认证（考核），请提供的有效证明文件的复印或扫描件，质量管理体系认证包括FDA、CE、ISO等认证（提供中文翻译复印件）</w:t>
      </w:r>
    </w:p>
    <w:p>
      <w:pPr>
        <w:pageBreakBefore w:val="0"/>
        <w:numPr>
          <w:ilvl w:val="0"/>
          <w:numId w:val="2"/>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8</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行业相关</w:t>
      </w:r>
      <w:r>
        <w:rPr>
          <w:rFonts w:hint="eastAsia" w:ascii="宋体" w:hAnsi="宋体" w:eastAsia="宋体" w:cs="宋体"/>
          <w:sz w:val="24"/>
          <w:szCs w:val="24"/>
        </w:rPr>
        <w:t>规范或标准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p>
    <w:p>
      <w:pPr>
        <w:pageBreakBefore w:val="0"/>
        <w:numPr>
          <w:ilvl w:val="0"/>
          <w:numId w:val="2"/>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cs="宋体"/>
          <w:sz w:val="24"/>
          <w:szCs w:val="24"/>
          <w:lang w:val="en-US" w:eastAsia="zh-CN"/>
        </w:rPr>
        <w:t>.</w:t>
      </w:r>
      <w:r>
        <w:rPr>
          <w:rFonts w:hint="eastAsia" w:ascii="宋体" w:hAnsi="宋体" w:eastAsia="宋体" w:cs="宋体"/>
          <w:bCs/>
          <w:spacing w:val="8"/>
          <w:sz w:val="24"/>
          <w:szCs w:val="24"/>
        </w:rPr>
        <w:t>售后</w:t>
      </w:r>
      <w:r>
        <w:rPr>
          <w:rFonts w:hint="eastAsia" w:ascii="宋体" w:hAnsi="宋体" w:eastAsia="宋体" w:cs="宋体"/>
          <w:bCs/>
          <w:sz w:val="24"/>
          <w:szCs w:val="24"/>
        </w:rPr>
        <w:t>服务承诺</w:t>
      </w:r>
      <w:r>
        <w:rPr>
          <w:rFonts w:hint="eastAsia" w:ascii="宋体" w:hAnsi="宋体" w:eastAsia="宋体" w:cs="宋体"/>
          <w:bCs/>
          <w:sz w:val="24"/>
          <w:szCs w:val="24"/>
          <w:lang w:val="en-US" w:eastAsia="zh-CN"/>
        </w:rPr>
        <w:t>及其它承诺</w:t>
      </w:r>
    </w:p>
    <w:p>
      <w:pPr>
        <w:pageBreakBefore w:val="0"/>
        <w:numPr>
          <w:ilvl w:val="0"/>
          <w:numId w:val="2"/>
        </w:numPr>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10</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投标人认为需要提供的其它文件</w:t>
      </w:r>
    </w:p>
    <w:p>
      <w:pPr>
        <w:pageBreakBefore w:val="0"/>
        <w:numPr>
          <w:ilvl w:val="0"/>
          <w:numId w:val="2"/>
        </w:numPr>
        <w:tabs>
          <w:tab w:val="left" w:pos="0"/>
        </w:tabs>
        <w:kinsoku/>
        <w:wordWrap/>
        <w:overflowPunct/>
        <w:topLinePunct w:val="0"/>
        <w:autoSpaceDE/>
        <w:autoSpaceDN/>
        <w:bidi w:val="0"/>
        <w:spacing w:line="360" w:lineRule="auto"/>
        <w:ind w:left="420" w:leftChars="0" w:hanging="420" w:firstLineChars="0"/>
        <w:jc w:val="both"/>
        <w:textAlignment w:val="auto"/>
        <w:rPr>
          <w:rFonts w:hint="eastAsia" w:ascii="宋体" w:hAnsi="宋体" w:eastAsia="宋体" w:cs="宋体"/>
          <w:bCs/>
          <w:sz w:val="24"/>
          <w:szCs w:val="24"/>
        </w:rPr>
      </w:pPr>
      <w:r>
        <w:rPr>
          <w:rFonts w:hint="eastAsia" w:ascii="宋体" w:hAnsi="宋体" w:eastAsia="宋体" w:cs="宋体"/>
          <w:bCs/>
          <w:spacing w:val="8"/>
          <w:sz w:val="24"/>
          <w:szCs w:val="24"/>
        </w:rPr>
        <w:t>1</w:t>
      </w:r>
      <w:r>
        <w:rPr>
          <w:rFonts w:hint="eastAsia" w:ascii="宋体" w:hAnsi="宋体" w:eastAsia="宋体" w:cs="宋体"/>
          <w:bCs/>
          <w:spacing w:val="8"/>
          <w:sz w:val="24"/>
          <w:szCs w:val="24"/>
          <w:lang w:val="en-US" w:eastAsia="zh-CN"/>
        </w:rPr>
        <w:t>1</w:t>
      </w:r>
      <w:r>
        <w:rPr>
          <w:rFonts w:hint="eastAsia" w:ascii="宋体" w:hAnsi="宋体" w:cs="宋体"/>
          <w:bCs/>
          <w:spacing w:val="8"/>
          <w:sz w:val="24"/>
          <w:szCs w:val="24"/>
          <w:lang w:val="en-US" w:eastAsia="zh-CN"/>
        </w:rPr>
        <w:t>.</w:t>
      </w:r>
      <w:r>
        <w:rPr>
          <w:rFonts w:hint="eastAsia" w:ascii="宋体" w:hAnsi="宋体" w:eastAsia="宋体" w:cs="宋体"/>
          <w:bCs/>
          <w:spacing w:val="8"/>
          <w:sz w:val="24"/>
          <w:szCs w:val="24"/>
        </w:rPr>
        <w:t>封底</w:t>
      </w:r>
    </w:p>
    <w:p>
      <w:pPr>
        <w:pageBreakBefore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注：请务必按以上顺序装订资料，如有非中文资料，请同时提供中文翻译件。</w:t>
      </w:r>
    </w:p>
    <w:p>
      <w:pPr>
        <w:pageBreakBefore w:val="0"/>
        <w:tabs>
          <w:tab w:val="left" w:pos="6645"/>
        </w:tabs>
        <w:kinsoku/>
        <w:wordWrap/>
        <w:overflowPunct/>
        <w:topLinePunct w:val="0"/>
        <w:autoSpaceDE/>
        <w:autoSpaceDN/>
        <w:bidi w:val="0"/>
        <w:spacing w:line="360" w:lineRule="auto"/>
        <w:jc w:val="left"/>
        <w:textAlignment w:val="auto"/>
        <w:rPr>
          <w:rFonts w:hint="eastAsia" w:ascii="宋体" w:hAnsi="宋体" w:eastAsia="宋体" w:cs="宋体"/>
          <w:sz w:val="24"/>
          <w:szCs w:val="24"/>
        </w:rPr>
      </w:pPr>
    </w:p>
    <w:p>
      <w:pPr>
        <w:pageBreakBefore w:val="0"/>
        <w:tabs>
          <w:tab w:val="left" w:pos="6645"/>
        </w:tabs>
        <w:kinsoku/>
        <w:wordWrap/>
        <w:overflowPunct/>
        <w:topLinePunct w:val="0"/>
        <w:autoSpaceDE/>
        <w:autoSpaceDN/>
        <w:bidi w:val="0"/>
        <w:spacing w:line="360" w:lineRule="auto"/>
        <w:jc w:val="left"/>
        <w:textAlignment w:val="auto"/>
        <w:rPr>
          <w:rFonts w:hint="eastAsia" w:ascii="宋体" w:hAnsi="宋体" w:eastAsia="宋体" w:cs="宋体"/>
          <w:sz w:val="24"/>
          <w:szCs w:val="24"/>
        </w:rPr>
      </w:pP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ageBreakBefore w:val="0"/>
        <w:tabs>
          <w:tab w:val="left" w:pos="6645"/>
        </w:tabs>
        <w:kinsoku/>
        <w:wordWrap/>
        <w:overflowPunct/>
        <w:topLinePunct w:val="0"/>
        <w:autoSpaceDE/>
        <w:autoSpaceDN/>
        <w:bidi w:val="0"/>
        <w:spacing w:line="360" w:lineRule="auto"/>
        <w:jc w:val="left"/>
        <w:textAlignment w:val="auto"/>
        <w:rPr>
          <w:rFonts w:hint="eastAsia" w:ascii="宋体" w:hAnsi="宋体" w:eastAsia="宋体" w:cs="宋体"/>
          <w:b/>
          <w:bCs/>
          <w:sz w:val="24"/>
          <w:szCs w:val="24"/>
        </w:rPr>
      </w:pPr>
    </w:p>
    <w:p>
      <w:pPr>
        <w:pageBreakBefore w:val="0"/>
        <w:tabs>
          <w:tab w:val="left" w:pos="6645"/>
        </w:tabs>
        <w:kinsoku/>
        <w:wordWrap/>
        <w:overflowPunct/>
        <w:topLinePunct w:val="0"/>
        <w:autoSpaceDE/>
        <w:autoSpaceDN/>
        <w:bidi w:val="0"/>
        <w:spacing w:line="360" w:lineRule="auto"/>
        <w:jc w:val="left"/>
        <w:textAlignment w:val="auto"/>
        <w:rPr>
          <w:rFonts w:hint="eastAsia" w:ascii="宋体" w:hAnsi="宋体" w:eastAsia="宋体" w:cs="宋体"/>
          <w:b/>
          <w:bCs/>
          <w:sz w:val="24"/>
          <w:szCs w:val="24"/>
        </w:rPr>
      </w:pPr>
    </w:p>
    <w:p>
      <w:pPr>
        <w:pageBreakBefore w:val="0"/>
        <w:kinsoku/>
        <w:wordWrap/>
        <w:overflowPunct/>
        <w:topLinePunct w:val="0"/>
        <w:autoSpaceDE/>
        <w:autoSpaceDN/>
        <w:bidi w:val="0"/>
        <w:spacing w:line="360" w:lineRule="auto"/>
        <w:textAlignment w:val="auto"/>
        <w:rPr>
          <w:rFonts w:hint="eastAsia" w:ascii="黑体" w:hAnsi="黑体" w:eastAsia="黑体" w:cs="黑体"/>
          <w:b/>
          <w:bCs/>
          <w:i w:val="0"/>
          <w:caps w:val="0"/>
          <w:color w:val="000000"/>
          <w:spacing w:val="0"/>
          <w:kern w:val="0"/>
          <w:sz w:val="32"/>
          <w:szCs w:val="32"/>
          <w:lang w:val="en-US" w:eastAsia="zh-CN" w:bidi="ar"/>
        </w:rPr>
      </w:pPr>
      <w:r>
        <w:rPr>
          <w:rFonts w:hint="eastAsia" w:ascii="黑体" w:hAnsi="黑体" w:eastAsia="黑体" w:cs="黑体"/>
          <w:b/>
          <w:bCs/>
          <w:i w:val="0"/>
          <w:caps w:val="0"/>
          <w:color w:val="000000"/>
          <w:spacing w:val="0"/>
          <w:kern w:val="0"/>
          <w:sz w:val="32"/>
          <w:szCs w:val="32"/>
          <w:lang w:val="en-US" w:eastAsia="zh-CN" w:bidi="ar"/>
        </w:rPr>
        <w:t>附件4 反商业贿赂承诺书</w:t>
      </w:r>
    </w:p>
    <w:p>
      <w:pPr>
        <w:pStyle w:val="5"/>
        <w:rPr>
          <w:rFonts w:hint="eastAsia"/>
        </w:rPr>
      </w:pPr>
    </w:p>
    <w:p>
      <w:pPr>
        <w:pageBreakBefore w:val="0"/>
        <w:tabs>
          <w:tab w:val="left" w:pos="6645"/>
        </w:tabs>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反商业贿赂承诺书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不与其他投标人相互串通投标报价，损害贵院的合法权益；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不与招标人串通投标，损害国家利益、社会公共利益或他人的合法权益；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不以向招标人或者评标委员会成员行贿的手段谋取中标；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竞标报价不违反相关法律的规定，也不以他人名义投标或者以其他方式弄虚作假，骗取中标；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保证不以其他任何方式扰乱贵院的招标工作；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保证不在药品销售、医疗器械、设备、物资、基建工程竞标中采取账外暗中给予回扣的手段腐蚀、贿赂医护、药剂人员、干部等其他相关人员；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w:t>
      </w:r>
      <w:r>
        <w:rPr>
          <w:rFonts w:hint="eastAsia" w:ascii="宋体" w:hAnsi="宋体" w:eastAsia="宋体" w:cs="宋体"/>
          <w:sz w:val="24"/>
          <w:szCs w:val="24"/>
        </w:rPr>
        <w:t>保证不以任何名义包括以宣传费、临床促销费、开单费、处方费、广告费、免费度假、考察旅游、房屋装修等任何名义给予贵院采购人员、药剂人员、医护人员、干部等有关人员以财物或者其他利益；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sz w:val="24"/>
          <w:szCs w:val="24"/>
        </w:rPr>
        <w:t>保证不让贵院临床科室、药剂部门以及有关人员登记、统计医生处方或为此提供方便，干扰贵院的正常工作秩序；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val="en-US" w:eastAsia="zh-CN"/>
        </w:rPr>
        <w:t>.</w:t>
      </w:r>
      <w:r>
        <w:rPr>
          <w:rFonts w:hint="eastAsia" w:ascii="宋体" w:hAnsi="宋体" w:eastAsia="宋体" w:cs="宋体"/>
          <w:sz w:val="24"/>
          <w:szCs w:val="24"/>
        </w:rPr>
        <w:t>保证不以其他任何不正当竞争手段推销药品、医疗器械、设备、物资。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对尚处在竞标阶段的，贵院有权取消本厂家、商家、公司的竞标资格；已经中标的，贵院有权取消中标；对已经获得准入资格的，贵院有权随时取消本厂家、商家、公司的准入资格；</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对本厂家、商家、公司相关工作人员做出严肃处理；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bookmarkStart w:id="7" w:name="_GoBack"/>
      <w:bookmarkEnd w:id="7"/>
      <w:r>
        <w:rPr>
          <w:rFonts w:hint="eastAsia" w:ascii="宋体" w:hAnsi="宋体" w:eastAsia="宋体" w:cs="宋体"/>
          <w:sz w:val="24"/>
          <w:szCs w:val="24"/>
        </w:rPr>
        <w:t>对由于本厂家、商家、公司或本厂家、商家、公司工作人员的上述行为给贵院造成经济或名誉损失的，由本厂家、商家、公司负责，并愿意承担全部民事赔偿责任。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六、 采购物资名称：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本《承诺书》一式</w:t>
      </w:r>
      <w:r>
        <w:rPr>
          <w:rFonts w:hint="eastAsia" w:ascii="宋体" w:hAnsi="宋体" w:eastAsia="宋体" w:cs="宋体"/>
          <w:sz w:val="24"/>
          <w:szCs w:val="24"/>
          <w:lang w:val="en-US" w:eastAsia="zh-CN"/>
        </w:rPr>
        <w:t>贰</w:t>
      </w:r>
      <w:r>
        <w:rPr>
          <w:rFonts w:hint="eastAsia" w:ascii="宋体" w:hAnsi="宋体" w:eastAsia="宋体" w:cs="宋体"/>
          <w:sz w:val="24"/>
          <w:szCs w:val="24"/>
        </w:rPr>
        <w:t>份（一份由承诺人自存；一份随竞价书传递）</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承诺企业名称（公章）                  </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法人代表或委托代理人（承诺人）</w:t>
      </w:r>
    </w:p>
    <w:p>
      <w:pPr>
        <w:pStyle w:val="10"/>
        <w:keepNext w:val="0"/>
        <w:keepLines w:val="0"/>
        <w:widowControl/>
        <w:suppressLineNumbers w:val="0"/>
        <w:ind w:left="0" w:firstLine="0"/>
        <w:jc w:val="both"/>
        <w:rPr>
          <w:rFonts w:hint="eastAsia" w:ascii="宋体" w:hAnsi="宋体" w:eastAsia="宋体" w:cs="宋体"/>
          <w:i w:val="0"/>
          <w:caps w:val="0"/>
          <w:color w:val="000000"/>
          <w:spacing w:val="0"/>
          <w:sz w:val="28"/>
          <w:szCs w:val="28"/>
        </w:rPr>
      </w:pPr>
    </w:p>
    <w:p/>
    <w:sectPr>
      <w:head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CA279A-0757-4F8B-BC41-78F5944FD1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BF281EA-0350-44AB-B9E5-1528F700EF96}"/>
  </w:font>
  <w:font w:name="新宋体">
    <w:panose1 w:val="02010609030101010101"/>
    <w:charset w:val="86"/>
    <w:family w:val="auto"/>
    <w:pitch w:val="default"/>
    <w:sig w:usb0="00000283" w:usb1="288F0000" w:usb2="0000000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41580344-A7AB-4BC4-8179-2D5D701875AE}"/>
  </w:font>
  <w:font w:name="方正仿宋_GB2312">
    <w:panose1 w:val="02000000000000000000"/>
    <w:charset w:val="86"/>
    <w:family w:val="auto"/>
    <w:pitch w:val="default"/>
    <w:sig w:usb0="A00002BF" w:usb1="184F6CFA" w:usb2="00000012" w:usb3="00000000" w:csb0="00040001" w:csb1="00000000"/>
    <w:embedRegular r:id="rId4" w:fontKey="{689E376A-1E2D-4504-827B-5B6389EE541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tab/>
    </w:r>
    <w:r>
      <w:tab/>
    </w:r>
    <w:r>
      <w:fldChar w:fldCharType="begin"/>
    </w:r>
    <w:r>
      <w:instrText xml:space="preserve">PAGE</w:instrText>
    </w:r>
    <w:r>
      <w:fldChar w:fldCharType="separate"/>
    </w:r>
    <w:r>
      <w:t>1</w:t>
    </w:r>
    <w:r>
      <w:fldChar w:fldCharType="end"/>
    </w:r>
    <w:r>
      <w:t>/</w:t>
    </w:r>
    <w:r>
      <w:fldChar w:fldCharType="begin"/>
    </w:r>
    <w:r>
      <w:instrText xml:space="preserve">NUMPAGES</w:instrText>
    </w:r>
    <w:r>
      <w:fldChar w:fldCharType="separate"/>
    </w:r>
    <w:r>
      <w:t>20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tab/>
    </w:r>
    <w:r>
      <w:tab/>
    </w:r>
    <w:r>
      <w:fldChar w:fldCharType="begin"/>
    </w:r>
    <w:r>
      <w:instrText xml:space="preserve">PAGE</w:instrText>
    </w:r>
    <w:r>
      <w:fldChar w:fldCharType="separate"/>
    </w:r>
    <w:r>
      <w:t>1</w:t>
    </w:r>
    <w:r>
      <w:fldChar w:fldCharType="end"/>
    </w:r>
    <w:r>
      <w:t>/</w:t>
    </w:r>
    <w:r>
      <w:fldChar w:fldCharType="begin"/>
    </w:r>
    <w:r>
      <w:instrText xml:space="preserve">NUMPAGES</w:instrText>
    </w:r>
    <w:r>
      <w:fldChar w:fldCharType="separate"/>
    </w:r>
    <w:r>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EB9EC78F"/>
    <w:multiLevelType w:val="singleLevel"/>
    <w:tmpl w:val="EB9EC78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00000000"/>
    <w:rsid w:val="00D33F19"/>
    <w:rsid w:val="028D50C0"/>
    <w:rsid w:val="03A11A72"/>
    <w:rsid w:val="093832EB"/>
    <w:rsid w:val="0A8D606A"/>
    <w:rsid w:val="0EF1295F"/>
    <w:rsid w:val="0F566DED"/>
    <w:rsid w:val="0FFB291E"/>
    <w:rsid w:val="11576580"/>
    <w:rsid w:val="1C0E5E41"/>
    <w:rsid w:val="250A077F"/>
    <w:rsid w:val="299E45D4"/>
    <w:rsid w:val="2F694FD7"/>
    <w:rsid w:val="32743EA9"/>
    <w:rsid w:val="34CC4271"/>
    <w:rsid w:val="35717CBC"/>
    <w:rsid w:val="3F692C44"/>
    <w:rsid w:val="405D4153"/>
    <w:rsid w:val="4A5F2A22"/>
    <w:rsid w:val="4C2C19FD"/>
    <w:rsid w:val="4E9B2C13"/>
    <w:rsid w:val="55B44028"/>
    <w:rsid w:val="617D4BBB"/>
    <w:rsid w:val="61990DAC"/>
    <w:rsid w:val="625D4CC3"/>
    <w:rsid w:val="66B87515"/>
    <w:rsid w:val="671129F3"/>
    <w:rsid w:val="67B61094"/>
    <w:rsid w:val="6AA11FFE"/>
    <w:rsid w:val="70D47E6A"/>
    <w:rsid w:val="78567F26"/>
    <w:rsid w:val="79F9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仿宋_GB2312"/>
      <w:b/>
      <w:kern w:val="0"/>
      <w:sz w:val="32"/>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widowControl/>
      <w:spacing w:line="360" w:lineRule="auto"/>
    </w:pPr>
    <w:rPr>
      <w:color w:val="FF0000"/>
    </w:rPr>
  </w:style>
  <w:style w:type="paragraph" w:styleId="6">
    <w:name w:val="annotation text"/>
    <w:basedOn w:val="1"/>
    <w:qFormat/>
    <w:uiPriority w:val="0"/>
    <w:pPr>
      <w:jc w:val="left"/>
    </w:pPr>
  </w:style>
  <w:style w:type="paragraph" w:styleId="7">
    <w:name w:val="Plain Text"/>
    <w:basedOn w:val="1"/>
    <w:qFormat/>
    <w:uiPriority w:val="0"/>
    <w:rPr>
      <w:rFonts w:ascii="宋体" w:eastAsia="宋体"/>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next w:val="1"/>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10">
    <w:name w:val="Normal (Web)"/>
    <w:basedOn w:val="1"/>
    <w:qFormat/>
    <w:uiPriority w:val="0"/>
    <w:pPr>
      <w:widowControl/>
      <w:jc w:val="left"/>
    </w:pPr>
    <w:rPr>
      <w:rFonts w:ascii="宋体" w:eastAsia="宋体" w:cs="宋体"/>
      <w:kern w:val="0"/>
      <w:sz w:val="24"/>
      <w:szCs w:val="24"/>
    </w:rPr>
  </w:style>
  <w:style w:type="character" w:customStyle="1" w:styleId="13">
    <w:name w:val="font11"/>
    <w:basedOn w:val="12"/>
    <w:qFormat/>
    <w:uiPriority w:val="0"/>
    <w:rPr>
      <w:rFonts w:hint="eastAsia" w:ascii="新宋体" w:hAnsi="新宋体" w:eastAsia="新宋体" w:cs="新宋体"/>
      <w:color w:val="000000"/>
      <w:sz w:val="22"/>
      <w:szCs w:val="22"/>
      <w:u w:val="none"/>
    </w:rPr>
  </w:style>
  <w:style w:type="paragraph" w:customStyle="1" w:styleId="14">
    <w:name w:val="Table Paragraph"/>
    <w:basedOn w:val="1"/>
    <w:qFormat/>
    <w:uiPriority w:val="1"/>
    <w:rPr>
      <w:rFonts w:ascii="宋体" w:hAnsi="宋体" w:eastAsia="宋体" w:cs="宋体"/>
      <w:lang w:val="zh-CN" w:eastAsia="zh-CN" w:bidi="zh-CN"/>
    </w:rPr>
  </w:style>
  <w:style w:type="paragraph" w:customStyle="1" w:styleId="15">
    <w:name w:val="15、“一、”二级标题"/>
    <w:basedOn w:val="1"/>
    <w:qFormat/>
    <w:uiPriority w:val="0"/>
    <w:pPr>
      <w:wordWrap w:val="0"/>
      <w:topLinePunct/>
      <w:spacing w:before="100" w:beforeAutospacing="1" w:after="100" w:afterAutospacing="1" w:line="240" w:lineRule="auto"/>
      <w:ind w:firstLine="803" w:firstLineChars="200"/>
      <w:outlineLvl w:val="1"/>
    </w:pPr>
    <w:rPr>
      <w:rFonts w:ascii="宋体" w:hAnsi="宋体" w:cs="宋体"/>
      <w:b/>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7759</Words>
  <Characters>8532</Characters>
  <Lines>0</Lines>
  <Paragraphs>0</Paragraphs>
  <TotalTime>50</TotalTime>
  <ScaleCrop>false</ScaleCrop>
  <LinksUpToDate>false</LinksUpToDate>
  <CharactersWithSpaces>8749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2022-08-18T03:42:00Z</dcterms:created>
  <dc:creator>Administrator.DESKTOP-5IFN3JK</dc:creator>
  <cp:lastModifiedBy>罗珊珊</cp:lastModifiedBy>
  <dcterms:modified xsi:type="dcterms:W3CDTF">2022-08-25T03:52:18Z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CA7531D8C86A4D3DAC7005F319D9DA64</vt:lpwstr>
  </property>
</Properties>
</file>