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一、项目预算：2.22万元/年</w:t>
      </w:r>
    </w:p>
    <w:p>
      <w:pPr>
        <w:pStyle w:val="2"/>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 xml:space="preserve">二、 </w:t>
      </w:r>
      <w:bookmarkEnd w:id="0"/>
      <w:bookmarkStart w:id="1" w:name="_Toc217446095"/>
      <w:r>
        <w:rPr>
          <w:rFonts w:hint="eastAsia" w:ascii="宋体" w:hAnsi="宋体" w:eastAsia="宋体" w:cs="仿宋"/>
          <w:sz w:val="24"/>
          <w:szCs w:val="24"/>
        </w:rPr>
        <w:t>项目清单</w:t>
      </w:r>
    </w:p>
    <w:tbl>
      <w:tblPr>
        <w:tblStyle w:val="1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5"/>
        <w:gridCol w:w="2088"/>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605" w:type="dxa"/>
            <w:noWrap/>
            <w:vAlign w:val="center"/>
          </w:tcPr>
          <w:p>
            <w:pPr>
              <w:widowControl/>
              <w:spacing w:line="360" w:lineRule="auto"/>
              <w:jc w:val="center"/>
              <w:rPr>
                <w:rFonts w:ascii="宋体" w:hAnsi="宋体" w:cs="仿宋"/>
                <w:kern w:val="0"/>
                <w:sz w:val="24"/>
              </w:rPr>
            </w:pPr>
            <w:r>
              <w:rPr>
                <w:rFonts w:hint="eastAsia" w:ascii="宋体" w:hAnsi="宋体" w:cs="仿宋"/>
                <w:kern w:val="0"/>
                <w:sz w:val="24"/>
              </w:rPr>
              <w:t>材料</w:t>
            </w:r>
            <w:r>
              <w:rPr>
                <w:rFonts w:ascii="宋体" w:hAnsi="宋体" w:cs="仿宋"/>
                <w:kern w:val="0"/>
                <w:sz w:val="24"/>
              </w:rPr>
              <w:t>名称</w:t>
            </w:r>
          </w:p>
        </w:tc>
        <w:tc>
          <w:tcPr>
            <w:tcW w:w="2088" w:type="dxa"/>
            <w:noWrap/>
            <w:vAlign w:val="center"/>
          </w:tcPr>
          <w:p>
            <w:pPr>
              <w:widowControl/>
              <w:spacing w:line="360" w:lineRule="auto"/>
              <w:jc w:val="center"/>
              <w:rPr>
                <w:rFonts w:ascii="宋体" w:hAnsi="宋体" w:cs="仿宋"/>
                <w:kern w:val="0"/>
                <w:sz w:val="24"/>
              </w:rPr>
            </w:pPr>
            <w:r>
              <w:rPr>
                <w:rFonts w:hint="eastAsia" w:ascii="宋体" w:hAnsi="宋体" w:cs="仿宋"/>
                <w:kern w:val="0"/>
                <w:sz w:val="24"/>
              </w:rPr>
              <w:t>预估年度检测数</w:t>
            </w:r>
          </w:p>
        </w:tc>
        <w:tc>
          <w:tcPr>
            <w:tcW w:w="2594" w:type="dxa"/>
            <w:noWrap/>
            <w:vAlign w:val="center"/>
          </w:tcPr>
          <w:p>
            <w:pPr>
              <w:widowControl/>
              <w:spacing w:line="360" w:lineRule="auto"/>
              <w:jc w:val="center"/>
              <w:rPr>
                <w:rFonts w:ascii="宋体" w:hAnsi="宋体" w:cs="仿宋"/>
                <w:kern w:val="0"/>
                <w:sz w:val="24"/>
              </w:rPr>
            </w:pPr>
            <w:r>
              <w:rPr>
                <w:rFonts w:hint="eastAsia" w:ascii="宋体" w:hAnsi="宋体"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5" w:type="dxa"/>
            <w:noWrap/>
            <w:vAlign w:val="center"/>
          </w:tcPr>
          <w:p>
            <w:pPr>
              <w:widowControl/>
              <w:spacing w:line="360" w:lineRule="auto"/>
              <w:jc w:val="center"/>
              <w:rPr>
                <w:rFonts w:ascii="宋体" w:hAnsi="宋体" w:eastAsia="宋体" w:cs="仿宋"/>
                <w:kern w:val="0"/>
                <w:sz w:val="24"/>
              </w:rPr>
            </w:pPr>
            <w:r>
              <w:rPr>
                <w:rFonts w:hint="eastAsia" w:ascii="宋体" w:hAnsi="宋体" w:eastAsia="宋体" w:cs="仿宋"/>
                <w:kern w:val="0"/>
                <w:sz w:val="24"/>
              </w:rPr>
              <w:t>运动神经元存活基因1（SMN1)检测试剂</w:t>
            </w:r>
          </w:p>
        </w:tc>
        <w:tc>
          <w:tcPr>
            <w:tcW w:w="2088" w:type="dxa"/>
            <w:noWrap/>
            <w:vAlign w:val="center"/>
          </w:tcPr>
          <w:p>
            <w:pPr>
              <w:widowControl/>
              <w:spacing w:line="360" w:lineRule="auto"/>
              <w:jc w:val="center"/>
              <w:rPr>
                <w:rFonts w:ascii="宋体" w:hAnsi="宋体" w:cs="仿宋"/>
                <w:kern w:val="0"/>
                <w:sz w:val="24"/>
              </w:rPr>
            </w:pPr>
            <w:r>
              <w:rPr>
                <w:rFonts w:hint="eastAsia" w:ascii="宋体" w:hAnsi="宋体" w:cs="仿宋"/>
                <w:kern w:val="0"/>
                <w:sz w:val="24"/>
              </w:rPr>
              <w:t>60测试</w:t>
            </w:r>
          </w:p>
        </w:tc>
        <w:tc>
          <w:tcPr>
            <w:tcW w:w="2594" w:type="dxa"/>
            <w:noWrap/>
            <w:vAlign w:val="center"/>
          </w:tcPr>
          <w:p>
            <w:pPr>
              <w:widowControl/>
              <w:spacing w:line="360" w:lineRule="auto"/>
              <w:jc w:val="left"/>
              <w:rPr>
                <w:rFonts w:ascii="宋体" w:hAnsi="宋体" w:cs="仿宋"/>
                <w:kern w:val="0"/>
                <w:sz w:val="24"/>
              </w:rPr>
            </w:pPr>
            <w:r>
              <w:rPr>
                <w:rFonts w:hint="eastAsia" w:ascii="宋体" w:hAnsi="宋体"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605" w:type="dxa"/>
            <w:noWrap/>
            <w:vAlign w:val="center"/>
          </w:tcPr>
          <w:p>
            <w:pPr>
              <w:widowControl/>
              <w:spacing w:line="360" w:lineRule="auto"/>
              <w:jc w:val="center"/>
              <w:rPr>
                <w:rFonts w:ascii="宋体" w:hAnsi="宋体" w:cs="仿宋"/>
                <w:kern w:val="0"/>
                <w:sz w:val="24"/>
              </w:rPr>
            </w:pPr>
            <w:r>
              <w:rPr>
                <w:rFonts w:hint="eastAsia" w:ascii="宋体" w:hAnsi="宋体" w:cs="仿宋"/>
                <w:kern w:val="0"/>
                <w:sz w:val="24"/>
              </w:rPr>
              <w:t>核酸提取试剂</w:t>
            </w:r>
          </w:p>
        </w:tc>
        <w:tc>
          <w:tcPr>
            <w:tcW w:w="2088" w:type="dxa"/>
            <w:noWrap/>
            <w:vAlign w:val="center"/>
          </w:tcPr>
          <w:p>
            <w:pPr>
              <w:widowControl/>
              <w:spacing w:line="360" w:lineRule="auto"/>
              <w:jc w:val="center"/>
              <w:rPr>
                <w:rFonts w:ascii="宋体" w:hAnsi="宋体" w:cs="仿宋"/>
                <w:kern w:val="0"/>
                <w:sz w:val="24"/>
              </w:rPr>
            </w:pPr>
            <w:r>
              <w:rPr>
                <w:rFonts w:hint="eastAsia" w:ascii="宋体" w:hAnsi="宋体" w:cs="仿宋"/>
                <w:kern w:val="0"/>
                <w:sz w:val="24"/>
              </w:rPr>
              <w:t>60测试</w:t>
            </w:r>
          </w:p>
        </w:tc>
        <w:tc>
          <w:tcPr>
            <w:tcW w:w="2594" w:type="dxa"/>
            <w:noWrap/>
            <w:vAlign w:val="center"/>
          </w:tcPr>
          <w:p>
            <w:pPr>
              <w:widowControl/>
              <w:spacing w:line="360" w:lineRule="auto"/>
              <w:jc w:val="left"/>
              <w:rPr>
                <w:rFonts w:ascii="宋体" w:hAnsi="宋体" w:cs="仿宋"/>
                <w:kern w:val="0"/>
                <w:sz w:val="24"/>
              </w:rPr>
            </w:pPr>
            <w:r>
              <w:rPr>
                <w:rFonts w:hint="eastAsia" w:ascii="宋体" w:hAnsi="宋体" w:eastAsia="宋体" w:cs="仿宋"/>
                <w:kern w:val="0"/>
                <w:sz w:val="24"/>
              </w:rPr>
              <w:t>检测运动神经元存活基因1时使用</w:t>
            </w:r>
          </w:p>
        </w:tc>
      </w:tr>
    </w:tbl>
    <w:p>
      <w:pPr>
        <w:pStyle w:val="2"/>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三、项目要求</w:t>
      </w:r>
      <w:bookmarkEnd w:id="1"/>
    </w:p>
    <w:p>
      <w:pPr>
        <w:pStyle w:val="3"/>
        <w:ind w:left="283" w:leftChars="135" w:firstLine="0" w:firstLineChars="0"/>
        <w:rPr>
          <w:rFonts w:ascii="宋体" w:hAnsi="宋体" w:cs="仿宋"/>
          <w:sz w:val="24"/>
        </w:rPr>
      </w:pPr>
      <w:r>
        <w:rPr>
          <w:rFonts w:hint="eastAsia" w:ascii="宋体" w:hAnsi="宋体" w:cs="仿宋"/>
          <w:sz w:val="24"/>
        </w:rPr>
        <w:t>（一）本包进口产品</w:t>
      </w:r>
      <w:r>
        <w:rPr>
          <w:rFonts w:hint="eastAsia" w:ascii="宋体" w:hAnsi="宋体" w:cs="仿宋"/>
          <w:sz w:val="24"/>
          <w:u w:val="single"/>
        </w:rPr>
        <w:t xml:space="preserve"> 可以 </w:t>
      </w:r>
      <w:r>
        <w:rPr>
          <w:rFonts w:hint="eastAsia" w:ascii="宋体" w:hAnsi="宋体" w:cs="仿宋"/>
          <w:sz w:val="24"/>
        </w:rPr>
        <w:t>参与竞争。</w:t>
      </w:r>
    </w:p>
    <w:p>
      <w:pPr>
        <w:pStyle w:val="3"/>
        <w:ind w:left="283" w:leftChars="135" w:firstLine="0" w:firstLineChars="0"/>
        <w:rPr>
          <w:rFonts w:ascii="宋体" w:hAnsi="宋体" w:cs="仿宋"/>
          <w:b/>
          <w:bCs/>
          <w:sz w:val="24"/>
        </w:rPr>
      </w:pPr>
      <w:r>
        <w:rPr>
          <w:rFonts w:hint="eastAsia" w:ascii="宋体" w:hAnsi="宋体" w:cs="仿宋"/>
          <w:b/>
          <w:sz w:val="24"/>
        </w:rPr>
        <w:t>（二）</w:t>
      </w:r>
      <w:r>
        <w:rPr>
          <w:rFonts w:hint="eastAsia" w:ascii="宋体" w:hAnsi="宋体" w:cs="仿宋"/>
          <w:b/>
          <w:bCs/>
          <w:sz w:val="24"/>
        </w:rPr>
        <w:t>技术、服务要求：</w:t>
      </w:r>
    </w:p>
    <w:p>
      <w:pPr>
        <w:pStyle w:val="3"/>
        <w:ind w:left="283" w:leftChars="135" w:firstLine="0" w:firstLineChars="0"/>
        <w:rPr>
          <w:rFonts w:ascii="宋体" w:hAnsi="宋体" w:cs="仿宋"/>
          <w:sz w:val="24"/>
        </w:rPr>
      </w:pPr>
      <w:r>
        <w:rPr>
          <w:rFonts w:hint="eastAsia" w:ascii="宋体" w:hAnsi="宋体" w:cs="仿宋"/>
          <w:sz w:val="24"/>
        </w:rPr>
        <w:t>1、技术要求：</w:t>
      </w:r>
    </w:p>
    <w:p>
      <w:pPr>
        <w:pStyle w:val="3"/>
        <w:spacing w:line="400" w:lineRule="exact"/>
        <w:ind w:firstLine="480"/>
        <w:rPr>
          <w:rFonts w:ascii="宋体" w:hAnsi="宋体" w:cs="仿宋"/>
          <w:sz w:val="24"/>
        </w:rPr>
      </w:pPr>
      <w:r>
        <w:rPr>
          <w:rFonts w:hint="eastAsia" w:ascii="宋体" w:hAnsi="宋体" w:cs="仿宋"/>
          <w:sz w:val="24"/>
        </w:rPr>
        <w:t>（1）运动神经元存活基因1（SMN1)检测试剂：</w:t>
      </w:r>
    </w:p>
    <w:p>
      <w:pPr>
        <w:pStyle w:val="3"/>
        <w:spacing w:line="400" w:lineRule="exact"/>
        <w:ind w:firstLine="480"/>
        <w:rPr>
          <w:rFonts w:ascii="宋体" w:hAnsi="宋体" w:cs="仿宋"/>
          <w:sz w:val="24"/>
        </w:rPr>
      </w:pPr>
      <w:r>
        <w:rPr>
          <w:rFonts w:hint="eastAsia" w:ascii="宋体" w:hAnsi="宋体" w:cs="仿宋"/>
          <w:sz w:val="24"/>
        </w:rPr>
        <w:t>★1.1用途：用于体外检测人基因组DNA中运动神经元存活基因1（SMN1）外显子7拷贝数。</w:t>
      </w:r>
    </w:p>
    <w:p>
      <w:pPr>
        <w:pStyle w:val="3"/>
        <w:spacing w:line="400" w:lineRule="exact"/>
        <w:ind w:firstLine="480"/>
        <w:rPr>
          <w:rFonts w:ascii="宋体" w:hAnsi="宋体" w:cs="仿宋"/>
          <w:sz w:val="24"/>
        </w:rPr>
      </w:pPr>
      <w:r>
        <w:rPr>
          <w:rFonts w:hint="eastAsia" w:ascii="宋体" w:hAnsi="宋体" w:cs="仿宋"/>
          <w:sz w:val="24"/>
        </w:rPr>
        <w:t>★1.2检测方法：荧光定量PCR（荧光探针）法。</w:t>
      </w:r>
    </w:p>
    <w:p>
      <w:pPr>
        <w:pStyle w:val="3"/>
        <w:spacing w:line="400" w:lineRule="exact"/>
        <w:ind w:firstLine="480"/>
        <w:rPr>
          <w:rFonts w:ascii="宋体" w:hAnsi="宋体" w:cs="仿宋"/>
          <w:sz w:val="24"/>
        </w:rPr>
      </w:pPr>
      <w:r>
        <w:rPr>
          <w:rFonts w:hint="eastAsia" w:ascii="宋体" w:hAnsi="宋体" w:cs="仿宋"/>
          <w:sz w:val="24"/>
        </w:rPr>
        <w:t>★1.3检测范围：能检出SMN1基因外显子7的正常型、杂合缺失型和纯合缺失型，能区分正常人、携带者和患者。</w:t>
      </w:r>
    </w:p>
    <w:p>
      <w:pPr>
        <w:pStyle w:val="3"/>
        <w:spacing w:line="400" w:lineRule="exact"/>
        <w:ind w:firstLine="720" w:firstLineChars="300"/>
        <w:rPr>
          <w:rFonts w:ascii="宋体" w:hAnsi="宋体" w:cs="仿宋"/>
          <w:sz w:val="24"/>
        </w:rPr>
      </w:pPr>
      <w:r>
        <w:rPr>
          <w:rFonts w:hint="eastAsia" w:ascii="宋体" w:hAnsi="宋体" w:cs="仿宋"/>
          <w:sz w:val="24"/>
        </w:rPr>
        <w:t>1.4检测时间短：扩增时间1小时左右。</w:t>
      </w:r>
    </w:p>
    <w:p>
      <w:pPr>
        <w:pStyle w:val="3"/>
        <w:spacing w:line="400" w:lineRule="exact"/>
        <w:ind w:firstLine="720" w:firstLineChars="300"/>
        <w:rPr>
          <w:rFonts w:ascii="宋体" w:hAnsi="宋体" w:cs="仿宋"/>
          <w:sz w:val="24"/>
        </w:rPr>
      </w:pPr>
      <w:r>
        <w:rPr>
          <w:rFonts w:hint="eastAsia" w:ascii="宋体" w:hAnsi="宋体" w:cs="仿宋"/>
          <w:sz w:val="24"/>
        </w:rPr>
        <w:t>1.5结果判读方便：配套软件自动判读结果。</w:t>
      </w:r>
    </w:p>
    <w:p>
      <w:pPr>
        <w:pStyle w:val="3"/>
        <w:spacing w:line="400" w:lineRule="exact"/>
        <w:ind w:firstLine="540" w:firstLineChars="225"/>
        <w:rPr>
          <w:rFonts w:ascii="宋体" w:hAnsi="宋体" w:cs="仿宋"/>
          <w:sz w:val="24"/>
        </w:rPr>
      </w:pPr>
      <w:r>
        <w:rPr>
          <w:rFonts w:hint="eastAsia" w:ascii="宋体" w:hAnsi="宋体" w:cs="仿宋"/>
          <w:sz w:val="24"/>
        </w:rPr>
        <w:t>★1.6防污染：采用防污染体系。</w:t>
      </w:r>
    </w:p>
    <w:p>
      <w:pPr>
        <w:pStyle w:val="3"/>
        <w:spacing w:line="400" w:lineRule="exact"/>
        <w:ind w:firstLine="480"/>
        <w:rPr>
          <w:rFonts w:ascii="宋体" w:hAnsi="宋体" w:cs="仿宋"/>
          <w:sz w:val="24"/>
          <w:highlight w:val="none"/>
        </w:rPr>
      </w:pPr>
      <w:r>
        <w:rPr>
          <w:rFonts w:hint="eastAsia" w:ascii="宋体" w:hAnsi="宋体" w:cs="仿宋"/>
          <w:sz w:val="24"/>
        </w:rPr>
        <w:t>★</w:t>
      </w:r>
      <w:r>
        <w:rPr>
          <w:rFonts w:hint="eastAsia" w:ascii="宋体" w:hAnsi="宋体" w:cs="仿宋"/>
          <w:sz w:val="24"/>
          <w:highlight w:val="none"/>
        </w:rPr>
        <w:t>1.7对于阳性结果或临床需要检测SMN2基因拷贝数的标本，免费提供QPCR、MLPA或测序验证。</w:t>
      </w:r>
    </w:p>
    <w:p>
      <w:pPr>
        <w:pStyle w:val="3"/>
        <w:spacing w:line="400" w:lineRule="exact"/>
        <w:ind w:firstLine="480"/>
        <w:rPr>
          <w:rFonts w:ascii="宋体" w:hAnsi="宋体" w:cs="仿宋"/>
          <w:sz w:val="24"/>
        </w:rPr>
      </w:pPr>
      <w:r>
        <w:rPr>
          <w:rFonts w:hint="eastAsia" w:ascii="宋体" w:hAnsi="宋体" w:cs="仿宋"/>
          <w:sz w:val="24"/>
        </w:rPr>
        <w:t>▲（2）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pPr>
        <w:pStyle w:val="3"/>
        <w:spacing w:line="400" w:lineRule="exact"/>
        <w:ind w:firstLine="480"/>
        <w:rPr>
          <w:rFonts w:ascii="宋体"/>
          <w:color w:val="000000"/>
          <w:sz w:val="24"/>
        </w:rPr>
      </w:pPr>
      <w:r>
        <w:rPr>
          <w:rFonts w:hint="eastAsia" w:ascii="宋体" w:hAnsi="宋体" w:cs="仿宋"/>
          <w:sz w:val="24"/>
        </w:rPr>
        <w:t>（三）</w:t>
      </w:r>
      <w:r>
        <w:rPr>
          <w:rFonts w:hint="eastAsia" w:ascii="宋体" w:hAnsi="宋体" w:cs="仿宋"/>
          <w:b/>
          <w:bCs/>
          <w:sz w:val="24"/>
        </w:rPr>
        <w:t>商务要求：</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3"/>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3"/>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2.供货期限：3年，采购数量以实际使用量为准。</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3"/>
        <w:spacing w:line="400" w:lineRule="exact"/>
        <w:ind w:firstLine="480"/>
        <w:rPr>
          <w:rFonts w:ascii="宋体"/>
          <w:color w:val="000000"/>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ascii="宋体"/>
          <w:color w:val="000000"/>
          <w:sz w:val="24"/>
        </w:rPr>
      </w:pPr>
      <w:r>
        <w:rPr>
          <w:rFonts w:hint="eastAsia" w:ascii="宋体"/>
          <w:color w:val="000000"/>
          <w:sz w:val="24"/>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rPr>
          <w:rFonts w:ascii="宋体" w:hAnsi="宋体" w:eastAsia="宋体" w:cs="Segoe UI"/>
          <w:b/>
          <w:bCs/>
          <w:kern w:val="0"/>
          <w:sz w:val="28"/>
          <w:szCs w:val="28"/>
        </w:rPr>
      </w:pPr>
      <w:r>
        <w:rPr>
          <w:rFonts w:ascii="宋体" w:hAnsi="宋体" w:eastAsia="宋体" w:cs="Segoe UI"/>
          <w:b/>
          <w:bCs/>
          <w:kern w:val="0"/>
          <w:sz w:val="28"/>
          <w:szCs w:val="28"/>
        </w:rPr>
        <w:br w:type="page"/>
      </w:r>
    </w:p>
    <w:p>
      <w:pPr>
        <w:widowControl/>
        <w:spacing w:line="360" w:lineRule="auto"/>
        <w:jc w:val="left"/>
        <w:rPr>
          <w:rFonts w:ascii="宋体" w:hAnsi="宋体" w:eastAsia="宋体" w:cs="Segoe UI"/>
          <w:b/>
          <w:bCs/>
          <w:kern w:val="0"/>
          <w:sz w:val="28"/>
          <w:szCs w:val="28"/>
        </w:rPr>
      </w:pPr>
      <w:bookmarkStart w:id="3" w:name="_GoBack"/>
      <w:bookmarkEnd w:id="3"/>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86"/>
        <w:gridCol w:w="667"/>
        <w:gridCol w:w="604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4" w:type="pct"/>
            <w:vAlign w:val="center"/>
          </w:tcPr>
          <w:p>
            <w:pPr>
              <w:widowControl/>
              <w:spacing w:line="240" w:lineRule="atLeast"/>
              <w:jc w:val="center"/>
              <w:rPr>
                <w:rFonts w:ascii="宋体" w:hAnsi="宋体" w:cs="Segoe UI"/>
                <w:b/>
                <w:kern w:val="0"/>
              </w:rPr>
            </w:pPr>
            <w:r>
              <w:rPr>
                <w:rFonts w:hint="eastAsia" w:ascii="宋体" w:hAnsi="宋体" w:cs="Segoe UI"/>
                <w:b/>
                <w:kern w:val="0"/>
              </w:rPr>
              <w:t>序号</w:t>
            </w:r>
          </w:p>
        </w:tc>
        <w:tc>
          <w:tcPr>
            <w:tcW w:w="700" w:type="pct"/>
            <w:vAlign w:val="center"/>
          </w:tcPr>
          <w:p>
            <w:pPr>
              <w:widowControl/>
              <w:spacing w:line="240" w:lineRule="atLeast"/>
              <w:jc w:val="center"/>
              <w:rPr>
                <w:rFonts w:ascii="宋体" w:hAnsi="宋体" w:cs="Segoe UI"/>
                <w:b/>
                <w:kern w:val="0"/>
              </w:rPr>
            </w:pPr>
            <w:r>
              <w:rPr>
                <w:rFonts w:hint="eastAsia" w:ascii="宋体" w:hAnsi="宋体" w:cs="Segoe UI"/>
                <w:b/>
                <w:kern w:val="0"/>
              </w:rPr>
              <w:t>评分因素</w:t>
            </w:r>
          </w:p>
        </w:tc>
        <w:tc>
          <w:tcPr>
            <w:tcW w:w="337" w:type="pct"/>
            <w:vAlign w:val="center"/>
          </w:tcPr>
          <w:p>
            <w:pPr>
              <w:widowControl/>
              <w:wordWrap w:val="0"/>
              <w:spacing w:line="240" w:lineRule="atLeast"/>
              <w:jc w:val="center"/>
              <w:rPr>
                <w:rFonts w:ascii="宋体" w:hAnsi="宋体" w:cs="Segoe UI"/>
                <w:b/>
                <w:kern w:val="0"/>
              </w:rPr>
            </w:pPr>
            <w:r>
              <w:rPr>
                <w:rFonts w:hint="eastAsia" w:ascii="宋体" w:hAnsi="宋体" w:cs="Segoe UI"/>
                <w:b/>
                <w:kern w:val="0"/>
              </w:rPr>
              <w:t>分值</w:t>
            </w:r>
          </w:p>
        </w:tc>
        <w:tc>
          <w:tcPr>
            <w:tcW w:w="3052" w:type="pct"/>
            <w:vAlign w:val="center"/>
          </w:tcPr>
          <w:p>
            <w:pPr>
              <w:widowControl/>
              <w:wordWrap w:val="0"/>
              <w:spacing w:line="240" w:lineRule="atLeast"/>
              <w:jc w:val="center"/>
              <w:rPr>
                <w:rFonts w:ascii="宋体" w:hAnsi="宋体" w:cs="Segoe UI"/>
                <w:b/>
                <w:kern w:val="0"/>
              </w:rPr>
            </w:pPr>
            <w:r>
              <w:rPr>
                <w:rFonts w:hint="eastAsia" w:ascii="宋体" w:hAnsi="宋体" w:cs="Segoe UI"/>
                <w:b/>
                <w:kern w:val="0"/>
              </w:rPr>
              <w:t>评分标准</w:t>
            </w:r>
          </w:p>
        </w:tc>
        <w:tc>
          <w:tcPr>
            <w:tcW w:w="554" w:type="pct"/>
            <w:vAlign w:val="center"/>
          </w:tcPr>
          <w:p>
            <w:pPr>
              <w:widowControl/>
              <w:wordWrap w:val="0"/>
              <w:spacing w:line="240" w:lineRule="atLeast"/>
              <w:jc w:val="center"/>
              <w:rPr>
                <w:rFonts w:ascii="宋体" w:hAnsi="宋体" w:cs="Segoe UI"/>
                <w:b/>
                <w:kern w:val="0"/>
              </w:rPr>
            </w:pPr>
            <w:r>
              <w:rPr>
                <w:rFonts w:hint="eastAsia" w:ascii="宋体" w:hAnsi="宋体" w:cs="Segoe UI"/>
                <w:b/>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1</w:t>
            </w:r>
          </w:p>
        </w:tc>
        <w:tc>
          <w:tcPr>
            <w:tcW w:w="700"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报价</w:t>
            </w:r>
          </w:p>
        </w:tc>
        <w:tc>
          <w:tcPr>
            <w:tcW w:w="337"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35分</w:t>
            </w:r>
          </w:p>
        </w:tc>
        <w:tc>
          <w:tcPr>
            <w:tcW w:w="3052" w:type="pct"/>
            <w:vAlign w:val="center"/>
          </w:tcPr>
          <w:p>
            <w:pPr>
              <w:widowControl/>
              <w:wordWrap w:val="0"/>
              <w:spacing w:line="270" w:lineRule="atLeast"/>
              <w:jc w:val="left"/>
              <w:rPr>
                <w:rFonts w:ascii="宋体" w:hAnsi="宋体" w:cs="Segoe UI"/>
                <w:b/>
                <w:kern w:val="0"/>
              </w:rPr>
            </w:pPr>
            <w:r>
              <w:rPr>
                <w:rFonts w:hint="eastAsia" w:ascii="宋体" w:hAnsi="宋体" w:cs="Segoe UI"/>
                <w:b/>
                <w:kern w:val="0"/>
              </w:rPr>
              <w:t>1.价格分：</w:t>
            </w:r>
          </w:p>
          <w:p>
            <w:pPr>
              <w:widowControl/>
              <w:wordWrap w:val="0"/>
              <w:spacing w:line="270" w:lineRule="atLeast"/>
              <w:jc w:val="left"/>
              <w:rPr>
                <w:rFonts w:ascii="宋体" w:hAnsi="宋体" w:cs="Segoe UI"/>
                <w:kern w:val="0"/>
              </w:rPr>
            </w:pPr>
            <w:r>
              <w:rPr>
                <w:rFonts w:hint="eastAsia" w:ascii="宋体" w:hAnsi="宋体" w:cs="Segoe UI"/>
                <w:kern w:val="0"/>
              </w:rPr>
              <w:t>投标材料满足采购文件要求且以报价</w:t>
            </w:r>
            <w:r>
              <w:rPr>
                <w:rFonts w:hint="eastAsia" w:ascii="宋体" w:hAnsi="宋体" w:cs="Segoe UI"/>
                <w:b/>
                <w:kern w:val="0"/>
              </w:rPr>
              <w:t>总价</w:t>
            </w:r>
            <w:r>
              <w:rPr>
                <w:rFonts w:hint="eastAsia" w:ascii="宋体" w:hAnsi="宋体" w:cs="Segoe UI"/>
                <w:kern w:val="0"/>
              </w:rPr>
              <w:t>最低的为</w:t>
            </w:r>
            <w:r>
              <w:rPr>
                <w:rFonts w:hint="eastAsia" w:ascii="宋体" w:hAnsi="宋体" w:cs="Segoe UI"/>
                <w:b/>
                <w:kern w:val="0"/>
              </w:rPr>
              <w:t>评标基准价</w:t>
            </w:r>
            <w:r>
              <w:rPr>
                <w:rFonts w:hint="eastAsia" w:ascii="宋体" w:hAnsi="宋体" w:cs="Segoe UI"/>
                <w:kern w:val="0"/>
              </w:rPr>
              <w:t>，其价格分为35分。其他供应商的价格分统一按照以下公式计算：价格分=(</w:t>
            </w:r>
            <w:r>
              <w:rPr>
                <w:rFonts w:hint="eastAsia" w:ascii="宋体" w:hAnsi="宋体" w:cs="Segoe UI"/>
                <w:b/>
                <w:kern w:val="0"/>
              </w:rPr>
              <w:t>评标基准价</w:t>
            </w:r>
            <w:r>
              <w:rPr>
                <w:rFonts w:hint="eastAsia" w:ascii="宋体" w:hAnsi="宋体" w:cs="Segoe UI"/>
                <w:kern w:val="0"/>
              </w:rPr>
              <w:t>／报价总价)×35</w:t>
            </w:r>
          </w:p>
          <w:p>
            <w:pPr>
              <w:widowControl/>
              <w:wordWrap w:val="0"/>
              <w:spacing w:line="270" w:lineRule="atLeast"/>
              <w:jc w:val="left"/>
              <w:rPr>
                <w:rFonts w:ascii="宋体" w:hAnsi="宋体" w:cs="Segoe UI"/>
                <w:b/>
                <w:kern w:val="0"/>
              </w:rPr>
            </w:pPr>
            <w:r>
              <w:rPr>
                <w:rFonts w:hint="eastAsia" w:ascii="宋体" w:hAnsi="宋体" w:cs="Segoe UI"/>
                <w:b/>
                <w:kern w:val="0"/>
              </w:rPr>
              <w:t>2.报价总价</w:t>
            </w:r>
          </w:p>
          <w:p>
            <w:pPr>
              <w:widowControl/>
              <w:wordWrap w:val="0"/>
              <w:spacing w:line="270" w:lineRule="atLeast"/>
              <w:jc w:val="left"/>
              <w:rPr>
                <w:rFonts w:ascii="宋体" w:hAnsi="宋体" w:cs="Segoe UI"/>
                <w:kern w:val="0"/>
              </w:rPr>
            </w:pPr>
            <w:r>
              <w:rPr>
                <w:rFonts w:hint="eastAsia" w:ascii="宋体" w:hAnsi="宋体" w:cs="Segoe UI"/>
                <w:kern w:val="0"/>
              </w:rPr>
              <w:t>报价总价=各检测项目单人份检测报价*预估年度测试数之和</w:t>
            </w:r>
          </w:p>
        </w:tc>
        <w:tc>
          <w:tcPr>
            <w:tcW w:w="554" w:type="pct"/>
            <w:vAlign w:val="center"/>
          </w:tcPr>
          <w:p>
            <w:pPr>
              <w:wordWrap w:val="0"/>
              <w:spacing w:line="270" w:lineRule="atLeast"/>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2</w:t>
            </w:r>
          </w:p>
        </w:tc>
        <w:tc>
          <w:tcPr>
            <w:tcW w:w="700"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技术指标</w:t>
            </w:r>
          </w:p>
        </w:tc>
        <w:tc>
          <w:tcPr>
            <w:tcW w:w="337"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42分</w:t>
            </w:r>
          </w:p>
        </w:tc>
        <w:tc>
          <w:tcPr>
            <w:tcW w:w="3052" w:type="pct"/>
            <w:vAlign w:val="center"/>
          </w:tcPr>
          <w:p>
            <w:pPr>
              <w:widowControl/>
              <w:wordWrap w:val="0"/>
              <w:spacing w:line="270" w:lineRule="atLeast"/>
              <w:jc w:val="left"/>
              <w:rPr>
                <w:rFonts w:ascii="宋体" w:hAnsi="宋体" w:cs="Segoe UI"/>
                <w:kern w:val="0"/>
              </w:rPr>
            </w:pPr>
            <w:r>
              <w:rPr>
                <w:rFonts w:hint="eastAsia" w:ascii="宋体" w:hAnsi="宋体" w:cs="Segoe UI"/>
                <w:kern w:val="0"/>
              </w:rPr>
              <w:t>1.完全符合招标文件中（二）技术、服务要求没有负偏离得42分。</w:t>
            </w:r>
          </w:p>
          <w:p>
            <w:pPr>
              <w:widowControl/>
              <w:wordWrap w:val="0"/>
              <w:spacing w:line="270" w:lineRule="atLeast"/>
              <w:jc w:val="left"/>
              <w:rPr>
                <w:rFonts w:ascii="宋体" w:hAnsi="宋体" w:cs="Segoe UI"/>
                <w:kern w:val="0"/>
              </w:rPr>
            </w:pPr>
            <w:r>
              <w:rPr>
                <w:rFonts w:hint="eastAsia" w:ascii="宋体" w:hAnsi="宋体" w:cs="Segoe UI"/>
                <w:kern w:val="0"/>
              </w:rPr>
              <w:t>2.标识“</w:t>
            </w:r>
            <w:r>
              <w:rPr>
                <w:rFonts w:hint="eastAsia" w:ascii="宋体"/>
                <w:sz w:val="24"/>
              </w:rPr>
              <w:t>★</w:t>
            </w:r>
            <w:r>
              <w:rPr>
                <w:rFonts w:hint="eastAsia" w:ascii="宋体" w:hAnsi="宋体" w:cs="Segoe UI"/>
                <w:kern w:val="0"/>
              </w:rPr>
              <w:t>”符号的参数为重要参数</w:t>
            </w:r>
            <w:r>
              <w:rPr>
                <w:rFonts w:hint="eastAsia" w:ascii="宋体" w:hAnsi="宋体" w:cs="Segoe UI"/>
                <w:kern w:val="0"/>
                <w:highlight w:val="none"/>
              </w:rPr>
              <w:t>（共5条），不满足重要参数条款每一项扣7分；未标识“</w:t>
            </w:r>
            <w:r>
              <w:rPr>
                <w:rFonts w:hint="eastAsia" w:ascii="宋体"/>
                <w:sz w:val="24"/>
                <w:highlight w:val="none"/>
              </w:rPr>
              <w:t>★</w:t>
            </w:r>
            <w:r>
              <w:rPr>
                <w:rFonts w:hint="eastAsia" w:ascii="宋体" w:hAnsi="宋体" w:cs="Segoe UI"/>
                <w:kern w:val="0"/>
                <w:highlight w:val="none"/>
              </w:rPr>
              <w:t>”符号的参数为一般参数（共2条），不满足一般参数条款每一项扣3.5分，</w:t>
            </w:r>
            <w:r>
              <w:rPr>
                <w:rFonts w:hint="eastAsia" w:ascii="宋体" w:hAnsi="宋体" w:cs="Segoe UI"/>
                <w:kern w:val="0"/>
              </w:rPr>
              <w:t>扣完为止。</w:t>
            </w:r>
          </w:p>
          <w:p>
            <w:pPr>
              <w:widowControl/>
              <w:wordWrap w:val="0"/>
              <w:spacing w:line="270" w:lineRule="atLeast"/>
              <w:jc w:val="left"/>
              <w:rPr>
                <w:rFonts w:ascii="宋体" w:hAnsi="宋体" w:cs="Segoe UI"/>
                <w:kern w:val="0"/>
              </w:rPr>
            </w:pPr>
            <w:r>
              <w:rPr>
                <w:rFonts w:hint="eastAsia" w:ascii="宋体" w:hAnsi="宋体" w:cs="Segoe UI"/>
                <w:kern w:val="0"/>
              </w:rPr>
              <w:t>注：“</w:t>
            </w:r>
            <w:r>
              <w:rPr>
                <w:rFonts w:hint="eastAsia" w:ascii="宋体"/>
                <w:sz w:val="24"/>
              </w:rPr>
              <w:t>★</w:t>
            </w:r>
            <w:r>
              <w:rPr>
                <w:rFonts w:hint="eastAsia" w:ascii="宋体" w:hAnsi="宋体" w:cs="Segoe UI"/>
                <w:kern w:val="0"/>
              </w:rPr>
              <w:t>”条款技术参数供应商须提供技术支撑材料：1.国家相关主管部门出具的的技术支持材料，如说明书、注册证、检测报告等；2.技术支持材料，须加盖响应产品制造厂家的印章或响应产品生产厂家驻中国境内合法直属机构印章；3.如果没有按照以上要求提供技术支持资料的，该条技术参数在评审中不予认定。</w:t>
            </w:r>
          </w:p>
        </w:tc>
        <w:tc>
          <w:tcPr>
            <w:tcW w:w="554" w:type="pct"/>
            <w:vAlign w:val="center"/>
          </w:tcPr>
          <w:p>
            <w:pPr>
              <w:widowControl/>
              <w:wordWrap w:val="0"/>
              <w:spacing w:line="270" w:lineRule="atLeast"/>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3</w:t>
            </w:r>
          </w:p>
        </w:tc>
        <w:tc>
          <w:tcPr>
            <w:tcW w:w="700"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供应商能力</w:t>
            </w:r>
          </w:p>
        </w:tc>
        <w:tc>
          <w:tcPr>
            <w:tcW w:w="337" w:type="pct"/>
            <w:vAlign w:val="center"/>
          </w:tcPr>
          <w:p>
            <w:pPr>
              <w:wordWrap w:val="0"/>
              <w:spacing w:line="270" w:lineRule="atLeast"/>
              <w:jc w:val="center"/>
              <w:rPr>
                <w:rFonts w:ascii="宋体" w:hAnsi="宋体" w:cs="Segoe UI"/>
                <w:kern w:val="0"/>
              </w:rPr>
            </w:pPr>
            <w:r>
              <w:rPr>
                <w:rFonts w:hint="eastAsia" w:ascii="宋体" w:hAnsi="宋体" w:cs="Segoe UI"/>
                <w:kern w:val="0"/>
              </w:rPr>
              <w:t>10分</w:t>
            </w:r>
          </w:p>
        </w:tc>
        <w:tc>
          <w:tcPr>
            <w:tcW w:w="3052" w:type="pct"/>
            <w:vAlign w:val="center"/>
          </w:tcPr>
          <w:p>
            <w:pPr>
              <w:wordWrap w:val="0"/>
              <w:spacing w:line="270" w:lineRule="atLeast"/>
              <w:ind w:firstLine="420" w:firstLineChars="200"/>
              <w:jc w:val="left"/>
            </w:pPr>
            <w:r>
              <w:rPr>
                <w:rFonts w:hint="eastAsia"/>
              </w:rPr>
              <w:t>提供投标产品2019年以来国内三甲医疗机构业绩证明，每提供1家三甲医院业绩证明得2分，最多得10分。</w:t>
            </w:r>
          </w:p>
          <w:p>
            <w:pPr>
              <w:widowControl/>
              <w:wordWrap w:val="0"/>
              <w:spacing w:line="270" w:lineRule="atLeast"/>
              <w:jc w:val="left"/>
              <w:rPr>
                <w:rFonts w:ascii="宋体" w:hAnsi="宋体" w:cs="Segoe UI"/>
                <w:kern w:val="0"/>
              </w:rPr>
            </w:pPr>
            <w:r>
              <w:rPr>
                <w:rFonts w:hint="eastAsia" w:ascii="宋体" w:hAnsi="宋体" w:cs="Segoe UI"/>
                <w:kern w:val="0"/>
              </w:rPr>
              <w:t>注：以下三项材料均可作为依据：</w:t>
            </w:r>
          </w:p>
          <w:p>
            <w:pPr>
              <w:widowControl/>
              <w:wordWrap w:val="0"/>
              <w:spacing w:line="270" w:lineRule="atLeast"/>
              <w:jc w:val="left"/>
              <w:rPr>
                <w:rFonts w:ascii="宋体" w:hAnsi="宋体" w:cs="Segoe UI"/>
                <w:kern w:val="0"/>
              </w:rPr>
            </w:pPr>
            <w:r>
              <w:rPr>
                <w:rFonts w:hint="eastAsia" w:ascii="宋体" w:hAnsi="宋体" w:cs="Segoe UI"/>
                <w:kern w:val="0"/>
              </w:rPr>
              <w:t>1.合同复印件；</w:t>
            </w:r>
          </w:p>
          <w:p>
            <w:pPr>
              <w:widowControl/>
              <w:wordWrap w:val="0"/>
              <w:spacing w:line="270" w:lineRule="atLeast"/>
              <w:jc w:val="left"/>
              <w:rPr>
                <w:rFonts w:ascii="宋体" w:hAnsi="宋体" w:cs="Segoe UI"/>
                <w:kern w:val="0"/>
              </w:rPr>
            </w:pPr>
            <w:r>
              <w:rPr>
                <w:rFonts w:hint="eastAsia" w:ascii="宋体" w:hAnsi="宋体" w:cs="Segoe UI"/>
                <w:kern w:val="0"/>
              </w:rPr>
              <w:t>2.中标（成交/中选）通知书；</w:t>
            </w:r>
          </w:p>
          <w:p>
            <w:pPr>
              <w:pStyle w:val="5"/>
            </w:pPr>
            <w:r>
              <w:rPr>
                <w:rFonts w:hint="eastAsia" w:ascii="宋体" w:hAnsi="宋体" w:cs="Segoe UI"/>
                <w:kern w:val="0"/>
              </w:rPr>
              <w:t>3.发票复印件（若发票复印件上无产品明细则需附销货清单）</w:t>
            </w:r>
          </w:p>
        </w:tc>
        <w:tc>
          <w:tcPr>
            <w:tcW w:w="554" w:type="pct"/>
            <w:vAlign w:val="center"/>
          </w:tcPr>
          <w:p>
            <w:pPr>
              <w:wordWrap w:val="0"/>
              <w:spacing w:line="270" w:lineRule="atLeast"/>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4</w:t>
            </w:r>
          </w:p>
        </w:tc>
        <w:tc>
          <w:tcPr>
            <w:tcW w:w="700"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售后服务</w:t>
            </w:r>
          </w:p>
        </w:tc>
        <w:tc>
          <w:tcPr>
            <w:tcW w:w="337" w:type="pct"/>
            <w:vAlign w:val="center"/>
          </w:tcPr>
          <w:p>
            <w:pPr>
              <w:spacing w:line="320" w:lineRule="atLeast"/>
              <w:ind w:left="-105" w:right="-107"/>
              <w:jc w:val="center"/>
              <w:rPr>
                <w:rFonts w:ascii="宋体" w:hAnsi="宋体" w:cs="Segoe UI"/>
                <w:kern w:val="0"/>
              </w:rPr>
            </w:pPr>
            <w:r>
              <w:rPr>
                <w:rFonts w:hint="eastAsia" w:ascii="宋体" w:hAnsi="宋体" w:cs="Segoe UI"/>
                <w:kern w:val="0"/>
              </w:rPr>
              <w:t>12分</w:t>
            </w:r>
          </w:p>
        </w:tc>
        <w:tc>
          <w:tcPr>
            <w:tcW w:w="3052" w:type="pct"/>
            <w:vAlign w:val="center"/>
          </w:tcPr>
          <w:p>
            <w:pPr>
              <w:widowControl/>
              <w:wordWrap w:val="0"/>
              <w:jc w:val="left"/>
            </w:pPr>
            <w:r>
              <w:rPr>
                <w:rFonts w:hint="eastAsia" w:ascii="宋体" w:hAnsi="宋体" w:cs="Segoe UI"/>
                <w:kern w:val="0"/>
              </w:rPr>
              <w:t>根据供应商提供的售后服务方案，包含：①售后服务承诺；②缺货应急方案；③产品彩页介绍；④人员培训计划等四个方面进行评审，四个方面提供完整且描述详细，符合本项目实际情况、有利于项目实施的得12分；每缺少一项或提供的方案与本项目无关的扣3分；每有一项存在缺陷或漏洞的，且不利于项目实施的扣2分，分值扣完为止。</w:t>
            </w:r>
          </w:p>
        </w:tc>
        <w:tc>
          <w:tcPr>
            <w:tcW w:w="554" w:type="pct"/>
            <w:vAlign w:val="center"/>
          </w:tcPr>
          <w:p>
            <w:pPr>
              <w:widowControl/>
              <w:wordWrap w:val="0"/>
              <w:jc w:val="left"/>
              <w:rPr>
                <w:rFonts w:ascii="宋体" w:hAnsi="宋体" w:cs="Segoe UI"/>
                <w:kern w:val="0"/>
              </w:rPr>
            </w:pPr>
            <w:r>
              <w:rPr>
                <w:rFonts w:hint="eastAsia" w:ascii="宋体" w:hAnsi="宋体" w:cs="Segoe UI"/>
                <w:kern w:val="0"/>
              </w:rPr>
              <w:t>共同评分因素</w:t>
            </w:r>
          </w:p>
        </w:tc>
      </w:tr>
    </w:tbl>
    <w:p>
      <w:pPr>
        <w:widowControl/>
        <w:spacing w:line="360" w:lineRule="auto"/>
        <w:jc w:val="left"/>
        <w:rPr>
          <w:rFonts w:ascii="宋体" w:hAnsi="宋体" w:eastAsia="宋体" w:cs="Segoe UI"/>
          <w:b/>
          <w:bCs/>
          <w:kern w:val="0"/>
          <w:sz w:val="28"/>
          <w:szCs w:val="28"/>
        </w:rPr>
      </w:pP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790" w:type="dxa"/>
        <w:jc w:val="center"/>
        <w:shd w:val="clear" w:color="auto" w:fill="FFFFFF"/>
        <w:tblLayout w:type="autofit"/>
        <w:tblCellMar>
          <w:top w:w="0" w:type="dxa"/>
          <w:left w:w="0" w:type="dxa"/>
          <w:bottom w:w="0" w:type="dxa"/>
          <w:right w:w="0" w:type="dxa"/>
        </w:tblCellMar>
      </w:tblPr>
      <w:tblGrid>
        <w:gridCol w:w="698"/>
        <w:gridCol w:w="1583"/>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698"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w:t>
            </w:r>
            <w:r>
              <w:rPr>
                <w:rFonts w:hint="eastAsia" w:ascii="仿宋_GB2312" w:hAnsi="Segoe UI" w:eastAsia="仿宋_GB2312" w:cs="Segoe UI"/>
                <w:color w:val="000000" w:themeColor="text1"/>
                <w:kern w:val="0"/>
                <w:sz w:val="24"/>
                <w:szCs w:val="24"/>
                <w:lang w:val="en-US" w:eastAsia="zh-CN"/>
              </w:rPr>
              <w:t>按</w:t>
            </w:r>
            <w:r>
              <w:rPr>
                <w:rFonts w:hint="eastAsia" w:ascii="仿宋_GB2312" w:hAnsi="Segoe UI" w:eastAsia="仿宋_GB2312" w:cs="Segoe UI"/>
                <w:color w:val="000000" w:themeColor="text1"/>
                <w:kern w:val="0"/>
                <w:sz w:val="24"/>
                <w:szCs w:val="24"/>
              </w:rPr>
              <w:t>预估年度检测数</w:t>
            </w:r>
            <w:r>
              <w:rPr>
                <w:rFonts w:hint="eastAsia" w:ascii="仿宋_GB2312" w:hAnsi="Segoe UI" w:eastAsia="仿宋_GB2312" w:cs="Segoe UI"/>
                <w:color w:val="000000" w:themeColor="text1"/>
                <w:kern w:val="0"/>
                <w:sz w:val="24"/>
                <w:szCs w:val="24"/>
                <w:lang w:val="en-US" w:eastAsia="zh-CN"/>
              </w:rPr>
              <w:t>计算</w:t>
            </w:r>
            <w:r>
              <w:rPr>
                <w:rFonts w:hint="eastAsia" w:ascii="仿宋_GB2312" w:hAnsi="Segoe UI" w:eastAsia="仿宋_GB2312" w:cs="Segoe UI"/>
                <w:color w:val="000000" w:themeColor="text1"/>
                <w:kern w:val="0"/>
                <w:sz w:val="24"/>
                <w:szCs w:val="24"/>
              </w:rPr>
              <w:t>）</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四川省药械集中采购及医药价格监管平台耗材商品代码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挂网流水号</w:t>
            </w:r>
            <w:r>
              <w:rPr>
                <w:rFonts w:hint="eastAsia" w:ascii="仿宋_GB2312" w:hAnsi="Segoe UI" w:eastAsia="仿宋_GB2312" w:cs="Segoe UI"/>
                <w:color w:val="000000" w:themeColor="text1"/>
                <w:kern w:val="0"/>
                <w:sz w:val="24"/>
                <w:szCs w:val="24"/>
                <w:lang w:eastAsia="zh-CN"/>
              </w:rPr>
              <w:t>）</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tblCellMar>
            <w:top w:w="0" w:type="dxa"/>
            <w:left w:w="0" w:type="dxa"/>
            <w:bottom w:w="0" w:type="dxa"/>
            <w:right w:w="0" w:type="dxa"/>
          </w:tblCellMar>
        </w:tblPrEx>
        <w:trPr>
          <w:trHeight w:val="330" w:hRule="atLeast"/>
          <w:jc w:val="center"/>
        </w:trPr>
        <w:tc>
          <w:tcPr>
            <w:tcW w:w="698"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698"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5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3790"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报价合计：    元（大写：      ）</w:t>
            </w:r>
          </w:p>
        </w:tc>
      </w:tr>
    </w:tbl>
    <w:p>
      <w:pPr>
        <w:widowControl/>
        <w:shd w:val="clear" w:color="auto" w:fill="FFFFFF"/>
        <w:wordWrap w:val="0"/>
        <w:jc w:val="left"/>
        <w:rPr>
          <w:rFonts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承诺企业名称（公章）法人代表或委托代理人（承诺人）</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13C9"/>
    <w:rsid w:val="00007DFD"/>
    <w:rsid w:val="00010103"/>
    <w:rsid w:val="00010B00"/>
    <w:rsid w:val="00011042"/>
    <w:rsid w:val="000153FA"/>
    <w:rsid w:val="00015E93"/>
    <w:rsid w:val="00021CD5"/>
    <w:rsid w:val="000225FE"/>
    <w:rsid w:val="00023F07"/>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1A7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303C"/>
    <w:rsid w:val="00134AF5"/>
    <w:rsid w:val="00136470"/>
    <w:rsid w:val="0014780A"/>
    <w:rsid w:val="001626BC"/>
    <w:rsid w:val="001660F2"/>
    <w:rsid w:val="00177D3A"/>
    <w:rsid w:val="0018387A"/>
    <w:rsid w:val="00194AB2"/>
    <w:rsid w:val="001A1D63"/>
    <w:rsid w:val="001B159E"/>
    <w:rsid w:val="001B384F"/>
    <w:rsid w:val="001B6821"/>
    <w:rsid w:val="001C0E6C"/>
    <w:rsid w:val="001E2C7F"/>
    <w:rsid w:val="001E6879"/>
    <w:rsid w:val="001E7E8C"/>
    <w:rsid w:val="001F13FB"/>
    <w:rsid w:val="001F28B4"/>
    <w:rsid w:val="001F5DE7"/>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497E"/>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E71DA"/>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52A8"/>
    <w:rsid w:val="005968B6"/>
    <w:rsid w:val="00597D06"/>
    <w:rsid w:val="005A3020"/>
    <w:rsid w:val="005A42FF"/>
    <w:rsid w:val="005A498C"/>
    <w:rsid w:val="005A6381"/>
    <w:rsid w:val="005A681B"/>
    <w:rsid w:val="005B63AB"/>
    <w:rsid w:val="005B7018"/>
    <w:rsid w:val="005C3A58"/>
    <w:rsid w:val="005C4BCC"/>
    <w:rsid w:val="005C7025"/>
    <w:rsid w:val="005D5D89"/>
    <w:rsid w:val="005E18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440E"/>
    <w:rsid w:val="006B5AC8"/>
    <w:rsid w:val="006C6FE4"/>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25B0"/>
    <w:rsid w:val="00875856"/>
    <w:rsid w:val="008776DF"/>
    <w:rsid w:val="0088028E"/>
    <w:rsid w:val="00886DDA"/>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C1965"/>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38A"/>
    <w:rsid w:val="00B53B9A"/>
    <w:rsid w:val="00B5508E"/>
    <w:rsid w:val="00B63F70"/>
    <w:rsid w:val="00B662A4"/>
    <w:rsid w:val="00B67EE2"/>
    <w:rsid w:val="00B70C15"/>
    <w:rsid w:val="00B7633A"/>
    <w:rsid w:val="00B857D8"/>
    <w:rsid w:val="00B86491"/>
    <w:rsid w:val="00B97955"/>
    <w:rsid w:val="00BA3326"/>
    <w:rsid w:val="00BB08EA"/>
    <w:rsid w:val="00BC48C0"/>
    <w:rsid w:val="00BD2A2B"/>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1EA"/>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8B1"/>
    <w:rsid w:val="00E33DBF"/>
    <w:rsid w:val="00E3692B"/>
    <w:rsid w:val="00E40D3C"/>
    <w:rsid w:val="00E43F73"/>
    <w:rsid w:val="00E45420"/>
    <w:rsid w:val="00E47E37"/>
    <w:rsid w:val="00E47F11"/>
    <w:rsid w:val="00E502D8"/>
    <w:rsid w:val="00E536DA"/>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0E9E"/>
    <w:rsid w:val="00F572A2"/>
    <w:rsid w:val="00F57C68"/>
    <w:rsid w:val="00F60F3E"/>
    <w:rsid w:val="00F61076"/>
    <w:rsid w:val="00F6117F"/>
    <w:rsid w:val="00F66A32"/>
    <w:rsid w:val="00F72EB5"/>
    <w:rsid w:val="00F72F4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2960DE"/>
    <w:rsid w:val="12744EA5"/>
    <w:rsid w:val="153C0864"/>
    <w:rsid w:val="15F9092F"/>
    <w:rsid w:val="2A2F2B5E"/>
    <w:rsid w:val="2EFA300C"/>
    <w:rsid w:val="4BD616FB"/>
    <w:rsid w:val="62CD3321"/>
    <w:rsid w:val="73E7365A"/>
    <w:rsid w:val="7A68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uiPriority w:val="99"/>
    <w:pPr>
      <w:jc w:val="left"/>
    </w:pPr>
  </w:style>
  <w:style w:type="paragraph" w:styleId="5">
    <w:name w:val="Body Text"/>
    <w:basedOn w:val="1"/>
    <w:next w:val="1"/>
    <w:unhideWhenUsed/>
    <w:uiPriority w:val="99"/>
    <w:pPr>
      <w:spacing w:after="120"/>
    </w:pPr>
  </w:style>
  <w:style w:type="paragraph" w:styleId="6">
    <w:name w:val="Balloon Text"/>
    <w:basedOn w:val="1"/>
    <w:link w:val="20"/>
    <w:semiHidden/>
    <w:unhideWhenUsed/>
    <w:uiPriority w:val="99"/>
    <w:rPr>
      <w:sz w:val="18"/>
      <w:szCs w:val="18"/>
    </w:rPr>
  </w:style>
  <w:style w:type="paragraph" w:styleId="7">
    <w:name w:val="footer"/>
    <w:basedOn w:val="1"/>
    <w:link w:val="16"/>
    <w:semiHidden/>
    <w:unhideWhenUsed/>
    <w:uiPriority w:val="99"/>
    <w:pPr>
      <w:tabs>
        <w:tab w:val="center" w:pos="4153"/>
        <w:tab w:val="right" w:pos="8306"/>
      </w:tabs>
      <w:snapToGrid w:val="0"/>
      <w:jc w:val="left"/>
    </w:pPr>
    <w:rPr>
      <w:sz w:val="18"/>
      <w:szCs w:val="18"/>
    </w:rPr>
  </w:style>
  <w:style w:type="paragraph" w:styleId="8">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uiPriority w:val="99"/>
    <w:rPr>
      <w:sz w:val="21"/>
      <w:szCs w:val="21"/>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qFormat/>
    <w:uiPriority w:val="99"/>
  </w:style>
  <w:style w:type="character" w:customStyle="1" w:styleId="19">
    <w:name w:val="批注主题 Char"/>
    <w:basedOn w:val="18"/>
    <w:link w:val="10"/>
    <w:semiHidden/>
    <w:uiPriority w:val="99"/>
    <w:rPr>
      <w:b/>
      <w:bCs/>
    </w:rPr>
  </w:style>
  <w:style w:type="character" w:customStyle="1" w:styleId="20">
    <w:name w:val="批注框文本 Char"/>
    <w:basedOn w:val="13"/>
    <w:link w:val="6"/>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629</Words>
  <Characters>3587</Characters>
  <Lines>29</Lines>
  <Paragraphs>8</Paragraphs>
  <TotalTime>2</TotalTime>
  <ScaleCrop>false</ScaleCrop>
  <LinksUpToDate>false</LinksUpToDate>
  <CharactersWithSpaces>4208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2022-08-25T01:28:36Z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