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color w:val="auto"/>
          <w:sz w:val="32"/>
          <w:szCs w:val="32"/>
          <w:highlight w:val="none"/>
        </w:rPr>
      </w:pPr>
      <w:bookmarkStart w:id="0" w:name="_GoBack"/>
      <w:bookmarkEnd w:id="0"/>
      <w:r>
        <w:rPr>
          <w:rFonts w:hint="eastAsia" w:ascii="仿宋" w:hAnsi="仿宋" w:eastAsia="仿宋"/>
          <w:color w:val="auto"/>
          <w:sz w:val="32"/>
          <w:szCs w:val="32"/>
          <w:highlight w:val="none"/>
        </w:rPr>
        <w:t>附件1:</w:t>
      </w:r>
    </w:p>
    <w:p>
      <w:pPr>
        <w:ind w:firstLine="643" w:firstLineChars="200"/>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参选机构要求</w:t>
      </w:r>
    </w:p>
    <w:p>
      <w:pPr>
        <w:pStyle w:val="6"/>
        <w:rPr>
          <w:color w:val="auto"/>
          <w:highlight w:val="none"/>
        </w:rPr>
      </w:pPr>
    </w:p>
    <w:p>
      <w:pPr>
        <w:ind w:firstLine="643"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b/>
          <w:bCs/>
          <w:color w:val="auto"/>
          <w:sz w:val="32"/>
          <w:szCs w:val="32"/>
          <w:highlight w:val="none"/>
          <w:lang w:val="en-US" w:eastAsia="zh-CN"/>
        </w:rPr>
        <w:t>总体要求：</w:t>
      </w:r>
      <w:r>
        <w:rPr>
          <w:rFonts w:hint="eastAsia" w:ascii="仿宋" w:hAnsi="仿宋" w:eastAsia="仿宋" w:cs="Times New Roman"/>
          <w:color w:val="auto"/>
          <w:sz w:val="32"/>
          <w:szCs w:val="32"/>
          <w:highlight w:val="none"/>
          <w:lang w:val="en-US" w:eastAsia="zh-CN"/>
        </w:rPr>
        <w:t>为贯彻落实成都市住房和城乡建设局、经济和信息化局联合印发《关于进一步加强新建建筑配建电动汽车充电基础设施建设管理工作的通知》（成住建发[2021]158号）精神，解决职工和患者电动汽车充电难的问题，四川省妇幼保健院（天府国际生物城院区）计划在停车场内建设一定数量的电动汽车充电桩。</w:t>
      </w:r>
    </w:p>
    <w:p>
      <w:pPr>
        <w:ind w:firstLine="640" w:firstLineChars="200"/>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本项目通过规范引入具备资质的合作方，由合作方全额投资，负责充电桩设备采购、建设、运营及维护等，我院提供场地及基础设施，合作方根据实际用电量向我院缴纳电费及综合管理费，向充电用户收取充电服务费。</w:t>
      </w:r>
    </w:p>
    <w:p>
      <w:pPr>
        <w:ind w:firstLine="643" w:firstLineChars="200"/>
        <w:rPr>
          <w:rFonts w:hint="eastAsia" w:ascii="仿宋" w:hAnsi="仿宋" w:eastAsia="仿宋" w:cs="Times New Roman"/>
          <w:b/>
          <w:bCs/>
          <w:color w:val="auto"/>
          <w:sz w:val="32"/>
          <w:szCs w:val="32"/>
          <w:highlight w:val="none"/>
          <w:lang w:val="en-US" w:eastAsia="zh-CN"/>
        </w:rPr>
      </w:pPr>
      <w:r>
        <w:rPr>
          <w:rFonts w:hint="eastAsia" w:ascii="仿宋" w:hAnsi="仿宋" w:eastAsia="仿宋" w:cs="Times New Roman"/>
          <w:b/>
          <w:bCs/>
          <w:color w:val="auto"/>
          <w:sz w:val="32"/>
          <w:szCs w:val="32"/>
          <w:highlight w:val="none"/>
          <w:lang w:val="en-US" w:eastAsia="zh-CN"/>
        </w:rPr>
        <w:t>一、遴选要求</w:t>
      </w:r>
    </w:p>
    <w:p>
      <w:p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*（一）充电桩数量：120KW双枪直流一体机3台，7KW单相交流充电桩29台，共计35个车位的充电桩，所提供充电桩应符合现行国家标准。</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（二）120KW双枪直流一体机参数（快充）</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1.工作电压：AC 380V±15%；</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2.输入模式：三相五线制；</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3.输出电压范围：DC 150V-DC 1000V；</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4.最大输出电流：DC 250A（单枪）；</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5.满载最大效率：≥94%；</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6.防护等级：IP54；</w:t>
      </w:r>
    </w:p>
    <w:p>
      <w:pPr>
        <w:numPr>
          <w:ilvl w:val="0"/>
          <w:numId w:val="0"/>
        </w:numPr>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7.工作环境温度：-20℃～﹢50℃；</w:t>
      </w:r>
    </w:p>
    <w:p>
      <w:pPr>
        <w:pStyle w:val="11"/>
        <w:rPr>
          <w:rFonts w:hint="default"/>
          <w:color w:val="auto"/>
          <w:highlight w:val="none"/>
          <w:lang w:val="en-US" w:eastAsia="zh-CN"/>
        </w:rPr>
      </w:pPr>
      <w:r>
        <w:rPr>
          <w:rFonts w:hint="eastAsia"/>
          <w:color w:val="auto"/>
          <w:highlight w:val="none"/>
          <w:lang w:val="en-US" w:eastAsia="zh-CN"/>
        </w:rPr>
        <w:t>（三）</w:t>
      </w:r>
      <w:r>
        <w:rPr>
          <w:rFonts w:hint="eastAsia" w:ascii="仿宋" w:hAnsi="仿宋" w:eastAsia="仿宋" w:cs="Times New Roman"/>
          <w:color w:val="auto"/>
          <w:sz w:val="32"/>
          <w:szCs w:val="32"/>
          <w:highlight w:val="none"/>
          <w:lang w:val="en-US" w:eastAsia="zh-CN"/>
        </w:rPr>
        <w:t>7KW单相交流充电桩参数（慢充）</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1.安装方式：壁挂式\落地式；</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2.输入电压：220V；</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3.输入频率：50Hz；</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4.最大功率：7KW；</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5.输出电压：220V；</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6.输出电流：32A；</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7.待机功耗：6W；</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8.工作温度：-30℃～+55℃；</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9.防护等级：IP65。</w:t>
      </w:r>
    </w:p>
    <w:p>
      <w:pPr>
        <w:pStyle w:val="11"/>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（四）安装/工程方案</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1.进线采用电缆以电缆沟、排管、直埋方式敷设；</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充电桩的安装形式可根据现场实际确定，靠墙车位空间狭小时，可采用壁挂式或前开门的落地式充电桩；在背靠背车位中间处可采用落地式机柜，并安装于左右车位中间；当均不具备安装条件时可采用平移停车位。</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*（五）项目验收</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根据《成都市电动汽车充电设施建设技术规定（ 2022版 ）》（成住建发[2022]49 号）要求：“新建建筑配建充电设施，应与主体工程同步设计、同步施工、同步验收”，参选机构应具备规划验收相关协调能力，协助医院顺利通过项目验收。</w:t>
      </w:r>
    </w:p>
    <w:p>
      <w:pPr>
        <w:pStyle w:val="11"/>
        <w:numPr>
          <w:ilvl w:val="0"/>
          <w:numId w:val="1"/>
        </w:numP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运营及维护</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*1.充电桩必须是以平台化管理的大数据架构系统，平台可查看站点信息、设备信息、用户信息、设备在线状态、用电量、充电起止时间、消费情况、充电状态、结束类型等；</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2.支付方式：支持移动端扫码及刷卡支付等；</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3.提供7*24小时技术支持及上门服务，每个充电桩在显著位置公示使用说明、安全提示和报修电话等信息。接到报修响应时间不得大于4小时。</w:t>
      </w:r>
    </w:p>
    <w:p>
      <w:pPr>
        <w:pStyle w:val="11"/>
        <w:jc w:val="both"/>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4.参选机构应定期对设备、设施及平台等进行维护、升级。</w:t>
      </w:r>
    </w:p>
    <w:p>
      <w:pPr>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二、合作期限</w:t>
      </w:r>
    </w:p>
    <w:p>
      <w:pPr>
        <w:ind w:firstLine="640" w:firstLineChars="200"/>
        <w:jc w:val="left"/>
        <w:rPr>
          <w:rFonts w:eastAsia="仿宋"/>
          <w:color w:val="auto"/>
          <w:highlight w:val="none"/>
        </w:rPr>
      </w:pPr>
      <w:r>
        <w:rPr>
          <w:rFonts w:hint="eastAsia" w:ascii="仿宋" w:hAnsi="仿宋" w:eastAsia="仿宋"/>
          <w:color w:val="auto"/>
          <w:sz w:val="32"/>
          <w:szCs w:val="32"/>
          <w:highlight w:val="none"/>
          <w:lang w:eastAsia="zh-CN"/>
        </w:rPr>
        <w:t>项目服务期限</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w:t>
      </w: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6"/>
      </w:pPr>
    </w:p>
    <w:p/>
    <w:p>
      <w:pPr>
        <w:pStyle w:val="2"/>
      </w:pPr>
    </w:p>
    <w:p>
      <w:pPr>
        <w:outlineLvl w:val="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r>
        <w:rPr>
          <w:rFonts w:ascii="仿宋" w:hAnsi="仿宋" w:eastAsia="仿宋"/>
          <w:sz w:val="32"/>
          <w:szCs w:val="32"/>
        </w:rPr>
        <w:t>：</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参选方案文件书装订顺序</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w:t>
      </w:r>
      <w:r>
        <w:rPr>
          <w:rFonts w:hint="eastAsia" w:ascii="仿宋" w:hAnsi="仿宋" w:eastAsia="仿宋"/>
          <w:sz w:val="32"/>
          <w:szCs w:val="32"/>
        </w:rPr>
        <w:t>注明项目名称及包号、公司名称</w:t>
      </w:r>
      <w:r>
        <w:rPr>
          <w:rFonts w:ascii="仿宋" w:hAnsi="仿宋" w:eastAsia="仿宋"/>
          <w:sz w:val="32"/>
          <w:szCs w:val="32"/>
        </w:rPr>
        <w:t>、联系人、联系</w:t>
      </w:r>
      <w:r>
        <w:rPr>
          <w:rFonts w:hint="eastAsia" w:ascii="仿宋" w:hAnsi="仿宋" w:eastAsia="仿宋"/>
          <w:sz w:val="32"/>
          <w:szCs w:val="32"/>
        </w:rPr>
        <w:t>电话、加盖公司印章</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偏离表（格式见附件</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4.有效的各资质证文件（副本）。</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5.本</w:t>
      </w:r>
      <w:r>
        <w:rPr>
          <w:rFonts w:hint="eastAsia" w:ascii="仿宋" w:hAnsi="仿宋" w:eastAsia="仿宋"/>
          <w:sz w:val="32"/>
          <w:szCs w:val="32"/>
          <w:lang w:eastAsia="zh-CN"/>
        </w:rPr>
        <w:t>公告</w:t>
      </w:r>
      <w:r>
        <w:rPr>
          <w:rFonts w:hint="eastAsia" w:ascii="仿宋" w:hAnsi="仿宋" w:eastAsia="仿宋"/>
          <w:sz w:val="32"/>
          <w:szCs w:val="32"/>
        </w:rPr>
        <w:t>中</w:t>
      </w:r>
      <w:r>
        <w:rPr>
          <w:rFonts w:hint="eastAsia" w:ascii="仿宋" w:hAnsi="仿宋" w:eastAsia="仿宋"/>
          <w:sz w:val="32"/>
          <w:szCs w:val="32"/>
          <w:lang w:eastAsia="zh-CN"/>
        </w:rPr>
        <w:t>所</w:t>
      </w:r>
      <w:r>
        <w:rPr>
          <w:rFonts w:hint="eastAsia" w:ascii="仿宋" w:hAnsi="仿宋" w:eastAsia="仿宋"/>
          <w:sz w:val="32"/>
          <w:szCs w:val="32"/>
        </w:rPr>
        <w:t>要求的承诺</w:t>
      </w:r>
      <w:r>
        <w:rPr>
          <w:rFonts w:hint="eastAsia" w:ascii="仿宋" w:hAnsi="仿宋" w:eastAsia="仿宋"/>
          <w:sz w:val="32"/>
          <w:szCs w:val="32"/>
          <w:lang w:eastAsia="zh-CN"/>
        </w:rPr>
        <w:t>函。</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身份</w:t>
      </w:r>
      <w:r>
        <w:rPr>
          <w:rFonts w:ascii="仿宋" w:hAnsi="仿宋" w:eastAsia="仿宋"/>
          <w:sz w:val="32"/>
          <w:szCs w:val="32"/>
        </w:rPr>
        <w:t>授权书（原件，格式见附件</w:t>
      </w:r>
      <w:r>
        <w:rPr>
          <w:rFonts w:hint="eastAsia" w:ascii="仿宋" w:hAnsi="仿宋" w:eastAsia="仿宋"/>
          <w:sz w:val="32"/>
          <w:szCs w:val="32"/>
        </w:rPr>
        <w:t>4</w:t>
      </w:r>
      <w:r>
        <w:rPr>
          <w:rFonts w:ascii="仿宋" w:hAnsi="仿宋" w:eastAsia="仿宋"/>
          <w:sz w:val="32"/>
          <w:szCs w:val="32"/>
        </w:rPr>
        <w:t>），法定代表人、被</w:t>
      </w:r>
      <w:r>
        <w:rPr>
          <w:rFonts w:hint="eastAsia" w:ascii="仿宋" w:hAnsi="仿宋" w:eastAsia="仿宋"/>
          <w:sz w:val="32"/>
          <w:szCs w:val="32"/>
        </w:rPr>
        <w:t>授权人</w:t>
      </w:r>
      <w:r>
        <w:rPr>
          <w:rFonts w:ascii="仿宋" w:hAnsi="仿宋" w:eastAsia="仿宋"/>
          <w:sz w:val="32"/>
          <w:szCs w:val="32"/>
        </w:rPr>
        <w:t>身份证（复印件）</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.参选机构服务能力与信用，包括但不限于合作的服务方案、</w:t>
      </w:r>
      <w:r>
        <w:rPr>
          <w:rFonts w:hint="eastAsia" w:ascii="仿宋" w:hAnsi="仿宋" w:eastAsia="仿宋"/>
          <w:sz w:val="32"/>
          <w:szCs w:val="32"/>
          <w:lang w:eastAsia="zh-CN"/>
        </w:rPr>
        <w:t>类似</w:t>
      </w:r>
      <w:r>
        <w:rPr>
          <w:rFonts w:hint="eastAsia" w:ascii="仿宋" w:hAnsi="仿宋" w:eastAsia="仿宋"/>
          <w:sz w:val="32"/>
          <w:szCs w:val="32"/>
        </w:rPr>
        <w:t>合作的案例、本地化的运营机构状况、</w:t>
      </w:r>
      <w:r>
        <w:rPr>
          <w:rFonts w:hint="eastAsia" w:ascii="仿宋" w:hAnsi="仿宋" w:eastAsia="仿宋"/>
          <w:sz w:val="32"/>
          <w:szCs w:val="32"/>
          <w:lang w:val="en-US" w:eastAsia="zh-CN"/>
        </w:rPr>
        <w:t>施工方案、运营服务保障方案、信息安全保障方案</w:t>
      </w:r>
      <w:r>
        <w:rPr>
          <w:rFonts w:hint="eastAsia" w:ascii="仿宋" w:hAnsi="仿宋" w:eastAsia="仿宋"/>
          <w:sz w:val="32"/>
          <w:szCs w:val="32"/>
        </w:rPr>
        <w:t>、疫情管控措施等。</w:t>
      </w:r>
    </w:p>
    <w:p>
      <w:pPr>
        <w:ind w:firstLine="640" w:firstLineChars="200"/>
        <w:rPr>
          <w:rFonts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设备</w:t>
      </w:r>
      <w:r>
        <w:rPr>
          <w:rFonts w:hint="eastAsia" w:ascii="仿宋" w:hAnsi="仿宋" w:eastAsia="仿宋"/>
          <w:sz w:val="32"/>
          <w:szCs w:val="32"/>
        </w:rPr>
        <w:t>效果图等。</w:t>
      </w:r>
    </w:p>
    <w:p>
      <w:pPr>
        <w:ind w:firstLine="640" w:firstLineChars="200"/>
        <w:rPr>
          <w:rFonts w:ascii="仿宋" w:hAnsi="仿宋" w:eastAsia="仿宋"/>
          <w:sz w:val="32"/>
          <w:szCs w:val="32"/>
        </w:rPr>
      </w:pPr>
      <w:r>
        <w:rPr>
          <w:rFonts w:hint="eastAsia" w:ascii="仿宋" w:hAnsi="仿宋" w:eastAsia="仿宋"/>
          <w:sz w:val="32"/>
          <w:szCs w:val="32"/>
        </w:rPr>
        <w:t>9.报价表（见附件7）。</w:t>
      </w:r>
    </w:p>
    <w:p>
      <w:pPr>
        <w:ind w:firstLine="640" w:firstLineChars="200"/>
        <w:rPr>
          <w:rFonts w:ascii="仿宋" w:hAnsi="仿宋" w:eastAsia="仿宋"/>
          <w:sz w:val="32"/>
          <w:szCs w:val="32"/>
        </w:rPr>
      </w:pPr>
      <w:r>
        <w:rPr>
          <w:rFonts w:hint="eastAsia" w:ascii="仿宋" w:hAnsi="仿宋" w:eastAsia="仿宋"/>
          <w:sz w:val="32"/>
          <w:szCs w:val="32"/>
        </w:rPr>
        <w:t>10.其它增值服务。</w:t>
      </w:r>
    </w:p>
    <w:p>
      <w:pPr>
        <w:ind w:firstLine="640" w:firstLineChars="200"/>
        <w:rPr>
          <w:rFonts w:ascii="仿宋" w:hAnsi="仿宋" w:eastAsia="仿宋"/>
          <w:sz w:val="32"/>
          <w:szCs w:val="32"/>
        </w:rPr>
      </w:pPr>
      <w:r>
        <w:rPr>
          <w:rFonts w:hint="eastAsia" w:ascii="仿宋" w:hAnsi="仿宋" w:eastAsia="仿宋"/>
          <w:sz w:val="32"/>
          <w:szCs w:val="32"/>
        </w:rPr>
        <w:t>11.封底。</w:t>
      </w:r>
    </w:p>
    <w:p>
      <w:pPr>
        <w:ind w:firstLine="640" w:firstLineChars="200"/>
        <w:rPr>
          <w:rFonts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附件3：</w:t>
      </w:r>
    </w:p>
    <w:p>
      <w:pPr>
        <w:ind w:firstLine="643" w:firstLineChars="200"/>
        <w:jc w:val="center"/>
        <w:rPr>
          <w:rFonts w:ascii="仿宋" w:hAnsi="仿宋" w:eastAsia="仿宋"/>
          <w:b/>
          <w:bCs/>
          <w:sz w:val="32"/>
          <w:szCs w:val="32"/>
        </w:rPr>
      </w:pPr>
      <w:r>
        <w:rPr>
          <w:rFonts w:hint="eastAsia" w:ascii="仿宋" w:hAnsi="仿宋" w:eastAsia="仿宋"/>
          <w:b/>
          <w:bCs/>
          <w:sz w:val="32"/>
          <w:szCs w:val="32"/>
        </w:rPr>
        <w:t>偏离表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w:t>
      </w:r>
      <w:r>
        <w:rPr>
          <w:rFonts w:hint="eastAsia" w:ascii="楷体_GB2312" w:hAnsi="宋体" w:eastAsia="楷体_GB2312"/>
          <w:sz w:val="28"/>
          <w:szCs w:val="28"/>
        </w:rPr>
        <w:t>1.</w:t>
      </w:r>
      <w:r>
        <w:rPr>
          <w:rFonts w:ascii="楷体_GB2312" w:hAnsi="宋体" w:eastAsia="楷体_GB2312"/>
          <w:sz w:val="28"/>
          <w:szCs w:val="28"/>
        </w:rPr>
        <w:t>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w:t>
      </w:r>
      <w:r>
        <w:rPr>
          <w:rFonts w:hint="eastAsia" w:ascii="楷体_GB2312" w:hAnsi="宋体" w:eastAsia="楷体_GB2312"/>
          <w:b/>
          <w:bCs/>
          <w:sz w:val="28"/>
          <w:szCs w:val="28"/>
        </w:rPr>
        <w:t>附件1中</w:t>
      </w:r>
      <w:r>
        <w:rPr>
          <w:rFonts w:hint="eastAsia" w:ascii="楷体_GB2312" w:hAnsi="宋体" w:eastAsia="楷体_GB2312"/>
          <w:b/>
          <w:bCs/>
          <w:sz w:val="28"/>
          <w:szCs w:val="28"/>
          <w:lang w:eastAsia="zh-CN"/>
        </w:rPr>
        <w:t>一、</w:t>
      </w:r>
      <w:r>
        <w:rPr>
          <w:rFonts w:hint="eastAsia" w:ascii="楷体_GB2312" w:hAnsi="宋体" w:eastAsia="楷体_GB2312"/>
          <w:b/>
          <w:bCs/>
          <w:sz w:val="28"/>
          <w:szCs w:val="28"/>
        </w:rPr>
        <w:t>遴选</w:t>
      </w:r>
      <w:r>
        <w:rPr>
          <w:rFonts w:ascii="楷体_GB2312" w:hAnsi="宋体" w:eastAsia="楷体_GB2312"/>
          <w:b/>
          <w:bCs/>
          <w:sz w:val="28"/>
          <w:szCs w:val="28"/>
        </w:rPr>
        <w:t>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ind w:firstLine="4620" w:firstLineChars="1650"/>
        <w:rPr>
          <w:rFonts w:ascii="楷体_GB2312" w:hAnsi="宋体" w:eastAsia="楷体_GB2312"/>
          <w:sz w:val="28"/>
          <w:szCs w:val="28"/>
        </w:rPr>
      </w:pPr>
    </w:p>
    <w:p>
      <w:pPr>
        <w:outlineLvl w:val="0"/>
        <w:rPr>
          <w:rFonts w:ascii="仿宋" w:hAnsi="仿宋" w:eastAsia="仿宋"/>
          <w:sz w:val="32"/>
          <w:szCs w:val="32"/>
        </w:rPr>
      </w:pPr>
      <w:r>
        <w:rPr>
          <w:rFonts w:hint="eastAsia" w:ascii="仿宋" w:hAnsi="仿宋" w:eastAsia="仿宋"/>
          <w:sz w:val="32"/>
          <w:szCs w:val="32"/>
        </w:rPr>
        <w:t>附件4:</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法定代表人身份授权书</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授权声明：</w:t>
      </w:r>
    </w:p>
    <w:p>
      <w:pPr>
        <w:tabs>
          <w:tab w:val="left" w:pos="720"/>
          <w:tab w:val="left" w:pos="6300"/>
        </w:tabs>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w:t>
      </w:r>
      <w:r>
        <w:rPr>
          <w:rFonts w:hint="eastAsia" w:ascii="仿宋" w:hAnsi="仿宋" w:eastAsia="仿宋" w:cs="仿宋"/>
          <w:sz w:val="32"/>
          <w:szCs w:val="32"/>
          <w:lang w:val="zh-CN"/>
        </w:rPr>
        <w:t>我方</w:t>
      </w:r>
      <w:r>
        <w:rPr>
          <w:rFonts w:hint="eastAsia" w:ascii="仿宋" w:hAnsi="仿宋" w:eastAsia="仿宋" w:cs="仿宋"/>
          <w:sz w:val="32"/>
          <w:szCs w:val="32"/>
          <w:u w:val="single"/>
          <w:lang w:val="zh-CN"/>
        </w:rPr>
        <w:t xml:space="preserve"> “                                          ”</w:t>
      </w:r>
      <w:r>
        <w:rPr>
          <w:rFonts w:hint="eastAsia" w:ascii="仿宋" w:hAnsi="仿宋" w:eastAsia="仿宋" w:cs="仿宋"/>
          <w:sz w:val="32"/>
          <w:szCs w:val="32"/>
          <w:lang w:val="zh-CN"/>
        </w:rPr>
        <w:t>项目遴选活动的合法代表，以我方名义全权处理该项目有关遴选、签订合同以及执行合同等一切事宜。</w:t>
      </w:r>
    </w:p>
    <w:p>
      <w:pPr>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法定代表人签字：</w:t>
      </w:r>
    </w:p>
    <w:p>
      <w:pPr>
        <w:ind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ind w:firstLine="640" w:firstLineChars="200"/>
        <w:rPr>
          <w:rFonts w:ascii="仿宋" w:hAnsi="仿宋" w:eastAsia="仿宋" w:cs="仿宋"/>
          <w:sz w:val="32"/>
          <w:szCs w:val="32"/>
        </w:rPr>
      </w:pPr>
      <w:r>
        <w:rPr>
          <w:rFonts w:hint="eastAsia" w:ascii="仿宋" w:hAnsi="仿宋" w:eastAsia="仿宋" w:cs="仿宋"/>
          <w:sz w:val="32"/>
          <w:szCs w:val="32"/>
        </w:rPr>
        <w:t>投标人名称：（加盖公章）</w:t>
      </w:r>
    </w:p>
    <w:p>
      <w:pPr>
        <w:ind w:firstLine="640" w:firstLineChars="200"/>
        <w:rPr>
          <w:rFonts w:ascii="仿宋" w:hAnsi="仿宋" w:eastAsia="仿宋" w:cs="仿宋"/>
          <w:sz w:val="32"/>
          <w:szCs w:val="32"/>
        </w:rPr>
      </w:pPr>
      <w:r>
        <w:rPr>
          <w:rFonts w:hint="eastAsia" w:ascii="仿宋" w:hAnsi="仿宋" w:eastAsia="仿宋" w:cs="仿宋"/>
          <w:sz w:val="32"/>
          <w:szCs w:val="32"/>
        </w:rPr>
        <w:t>日期：</w:t>
      </w:r>
    </w:p>
    <w:p>
      <w:pPr>
        <w:ind w:firstLine="640" w:firstLineChars="200"/>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sz w:val="32"/>
          <w:szCs w:val="32"/>
        </w:rPr>
      </w:pPr>
    </w:p>
    <w:p>
      <w:pPr>
        <w:pStyle w:val="2"/>
      </w:pPr>
    </w:p>
    <w:p>
      <w:pPr>
        <w:outlineLvl w:val="0"/>
        <w:rPr>
          <w:rFonts w:ascii="仿宋" w:hAnsi="仿宋" w:eastAsia="仿宋"/>
          <w:sz w:val="32"/>
          <w:szCs w:val="32"/>
        </w:rPr>
      </w:pPr>
    </w:p>
    <w:p>
      <w:pPr>
        <w:outlineLvl w:val="0"/>
        <w:rPr>
          <w:rFonts w:ascii="仿宋" w:hAnsi="仿宋" w:eastAsia="仿宋"/>
          <w:sz w:val="32"/>
          <w:szCs w:val="32"/>
        </w:rPr>
      </w:pPr>
    </w:p>
    <w:p>
      <w:pPr>
        <w:outlineLvl w:val="0"/>
        <w:rPr>
          <w:rFonts w:ascii="仿宋" w:hAnsi="仿宋" w:eastAsia="仿宋"/>
          <w:sz w:val="32"/>
          <w:szCs w:val="32"/>
        </w:rPr>
      </w:pPr>
      <w:r>
        <w:rPr>
          <w:rFonts w:hint="eastAsia" w:ascii="仿宋" w:hAnsi="仿宋" w:eastAsia="仿宋"/>
          <w:sz w:val="32"/>
          <w:szCs w:val="32"/>
        </w:rPr>
        <w:t>附件5：</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ascii="仿宋" w:hAnsi="仿宋" w:eastAsia="仿宋"/>
          <w:sz w:val="32"/>
          <w:szCs w:val="32"/>
        </w:rPr>
      </w:pPr>
      <w:r>
        <w:rPr>
          <w:rFonts w:hint="eastAsia" w:ascii="仿宋" w:hAnsi="仿宋" w:eastAsia="仿宋"/>
          <w:sz w:val="32"/>
          <w:szCs w:val="32"/>
        </w:rPr>
        <w:t>法人代表或委托代理人（承诺人）</w:t>
      </w: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本公司郑重承诺：我公司自觉遵守《中华人民共和国政府采购法》和《中华人民共和国政府采购法实施条例》的有关规定，我公司在参加本次项目（项目名称：XXXXXXX）遴选活动中，无以下围标、串标行为：</w:t>
      </w:r>
    </w:p>
    <w:p>
      <w:pPr>
        <w:ind w:firstLine="640" w:firstLineChars="200"/>
        <w:rPr>
          <w:rFonts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ascii="仿宋" w:hAnsi="仿宋" w:eastAsia="仿宋"/>
          <w:sz w:val="32"/>
          <w:szCs w:val="32"/>
        </w:rPr>
      </w:pPr>
      <w:r>
        <w:rPr>
          <w:rFonts w:hint="eastAsia" w:ascii="仿宋" w:hAnsi="仿宋" w:eastAsia="仿宋"/>
          <w:sz w:val="32"/>
          <w:szCs w:val="32"/>
        </w:rPr>
        <w:t>2.不同参选机构委托同一单位或者个人办理遴选事宜；</w:t>
      </w:r>
    </w:p>
    <w:p>
      <w:pPr>
        <w:ind w:firstLine="640" w:firstLineChars="200"/>
        <w:rPr>
          <w:rFonts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7.不同参选机构的董事、监事、高管、单位负责人为同一人或者存在控股、管理关系的不同单位参加同一遴选项目；</w:t>
      </w:r>
    </w:p>
    <w:p>
      <w:pPr>
        <w:ind w:firstLine="640" w:firstLineChars="200"/>
        <w:rPr>
          <w:rFonts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9.参选机构之间商定部分机构放弃参加遴选活动或者放弃中标、成交；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ascii="仿宋" w:hAnsi="仿宋" w:eastAsia="仿宋"/>
          <w:sz w:val="32"/>
          <w:szCs w:val="32"/>
        </w:rPr>
      </w:pPr>
      <w:r>
        <w:rPr>
          <w:rFonts w:hint="eastAsia" w:ascii="仿宋" w:hAnsi="仿宋" w:eastAsia="仿宋"/>
          <w:sz w:val="32"/>
          <w:szCs w:val="32"/>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p>
    <w:p>
      <w:pPr>
        <w:pStyle w:val="2"/>
        <w:rPr>
          <w:rFonts w:ascii="仿宋_GB2312" w:hAnsi="仿宋_GB2312" w:eastAsia="仿宋_GB2312" w:cs="仿宋_GB2312"/>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color w:val="auto"/>
          <w:sz w:val="32"/>
          <w:szCs w:val="32"/>
        </w:rPr>
      </w:pPr>
      <w:r>
        <w:rPr>
          <w:rFonts w:hint="eastAsia" w:ascii="仿宋" w:hAnsi="仿宋" w:eastAsia="仿宋"/>
          <w:color w:val="auto"/>
          <w:sz w:val="32"/>
          <w:szCs w:val="32"/>
        </w:rPr>
        <w:t>附件7：</w:t>
      </w:r>
    </w:p>
    <w:p>
      <w:pPr>
        <w:ind w:firstLine="643" w:firstLineChars="200"/>
        <w:jc w:val="center"/>
        <w:outlineLvl w:val="0"/>
        <w:rPr>
          <w:rFonts w:ascii="仿宋" w:hAnsi="仿宋" w:eastAsia="仿宋" w:cs="仿宋"/>
          <w:b/>
          <w:bCs/>
          <w:color w:val="auto"/>
          <w:sz w:val="32"/>
          <w:szCs w:val="32"/>
        </w:rPr>
      </w:pPr>
      <w:r>
        <w:rPr>
          <w:rFonts w:hint="eastAsia" w:ascii="仿宋" w:hAnsi="仿宋" w:eastAsia="仿宋" w:cs="仿宋"/>
          <w:b/>
          <w:bCs/>
          <w:color w:val="auto"/>
          <w:sz w:val="32"/>
          <w:szCs w:val="32"/>
        </w:rPr>
        <w:t>报价表</w:t>
      </w:r>
    </w:p>
    <w:p>
      <w:pPr>
        <w:rPr>
          <w:rFonts w:ascii="仿宋" w:hAnsi="仿宋" w:eastAsia="仿宋"/>
          <w:color w:val="auto"/>
          <w:sz w:val="32"/>
          <w:szCs w:val="32"/>
        </w:rPr>
      </w:pP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332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472" w:type="dxa"/>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项目名称</w:t>
            </w:r>
          </w:p>
        </w:tc>
        <w:tc>
          <w:tcPr>
            <w:tcW w:w="3325" w:type="dxa"/>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价格</w:t>
            </w:r>
          </w:p>
        </w:tc>
        <w:tc>
          <w:tcPr>
            <w:tcW w:w="2441" w:type="dxa"/>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3472" w:type="dxa"/>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lang w:val="en-US" w:eastAsia="zh-CN"/>
              </w:rPr>
              <w:t>充电服务费</w:t>
            </w:r>
          </w:p>
        </w:tc>
        <w:tc>
          <w:tcPr>
            <w:tcW w:w="3325" w:type="dxa"/>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       （元/度）</w:t>
            </w:r>
          </w:p>
        </w:tc>
        <w:tc>
          <w:tcPr>
            <w:tcW w:w="2441" w:type="dxa"/>
            <w:vAlign w:val="center"/>
          </w:tcPr>
          <w:p>
            <w:pPr>
              <w:spacing w:line="360" w:lineRule="auto"/>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3472" w:type="dxa"/>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综合管理费</w:t>
            </w:r>
          </w:p>
        </w:tc>
        <w:tc>
          <w:tcPr>
            <w:tcW w:w="3325" w:type="dxa"/>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s="Times New Roman"/>
                <w:color w:val="auto"/>
                <w:sz w:val="24"/>
                <w:szCs w:val="24"/>
                <w:lang w:val="en-US" w:eastAsia="zh-CN"/>
              </w:rPr>
              <w:t xml:space="preserve">   充电服务费的     %</w:t>
            </w:r>
          </w:p>
        </w:tc>
        <w:tc>
          <w:tcPr>
            <w:tcW w:w="2441" w:type="dxa"/>
            <w:vAlign w:val="center"/>
          </w:tcPr>
          <w:p>
            <w:pPr>
              <w:spacing w:line="360" w:lineRule="auto"/>
              <w:jc w:val="center"/>
              <w:rPr>
                <w:rFonts w:hint="eastAsia" w:ascii="仿宋" w:hAnsi="仿宋" w:eastAsia="仿宋"/>
                <w:color w:val="auto"/>
                <w:sz w:val="24"/>
                <w:szCs w:val="24"/>
                <w:lang w:eastAsia="zh-CN"/>
              </w:rPr>
            </w:pPr>
            <w:r>
              <w:rPr>
                <w:rFonts w:hint="eastAsia" w:ascii="仿宋" w:hAnsi="仿宋" w:eastAsia="仿宋"/>
                <w:color w:val="auto"/>
                <w:sz w:val="24"/>
                <w:szCs w:val="24"/>
                <w:highlight w:val="none"/>
                <w:lang w:val="en-US" w:eastAsia="zh-CN"/>
              </w:rPr>
              <w:t>合作年度充电量</w:t>
            </w:r>
            <w:r>
              <w:rPr>
                <w:rFonts w:hint="eastAsia" w:ascii="Arial" w:hAnsi="Arial" w:eastAsia="仿宋" w:cs="Arial"/>
                <w:color w:val="auto"/>
                <w:sz w:val="24"/>
                <w:szCs w:val="24"/>
                <w:highlight w:val="none"/>
                <w:lang w:val="en-US" w:eastAsia="zh-CN"/>
              </w:rPr>
              <w:t>＞</w:t>
            </w:r>
            <w:r>
              <w:rPr>
                <w:rFonts w:hint="eastAsia" w:ascii="仿宋" w:hAnsi="仿宋" w:eastAsia="仿宋"/>
                <w:color w:val="auto"/>
                <w:sz w:val="24"/>
                <w:szCs w:val="24"/>
                <w:highlight w:val="none"/>
                <w:lang w:val="en-US" w:eastAsia="zh-CN"/>
              </w:rPr>
              <w:t>20万度，超出20万度电部分医院参与</w:t>
            </w:r>
            <w:r>
              <w:rPr>
                <w:rFonts w:hint="eastAsia" w:ascii="仿宋" w:hAnsi="仿宋" w:eastAsia="仿宋" w:cs="Times New Roman"/>
                <w:color w:val="auto"/>
                <w:sz w:val="24"/>
                <w:szCs w:val="24"/>
                <w:highlight w:val="none"/>
                <w:lang w:val="en-US" w:eastAsia="zh-CN"/>
              </w:rPr>
              <w:t>充电服务费的</w:t>
            </w:r>
            <w:r>
              <w:rPr>
                <w:rFonts w:hint="eastAsia" w:ascii="仿宋" w:hAnsi="仿宋" w:eastAsia="仿宋"/>
                <w:color w:val="auto"/>
                <w:sz w:val="24"/>
                <w:szCs w:val="24"/>
                <w:highlight w:val="none"/>
                <w:lang w:val="en-US" w:eastAsia="zh-CN"/>
              </w:rPr>
              <w:t>分配。</w:t>
            </w:r>
          </w:p>
        </w:tc>
      </w:tr>
    </w:tbl>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rPr>
      </w:pPr>
      <w:r>
        <w:rPr>
          <w:rFonts w:hint="eastAsia" w:ascii="仿宋" w:hAnsi="仿宋" w:eastAsia="仿宋"/>
          <w:color w:val="auto"/>
          <w:sz w:val="24"/>
          <w:szCs w:val="24"/>
        </w:rPr>
        <w:t>备注：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1.充电服务费为参选机构向充电用户收取的费用。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2.综合管理费(</w:t>
      </w:r>
      <w:r>
        <w:rPr>
          <w:rFonts w:hint="eastAsia" w:ascii="仿宋" w:hAnsi="仿宋" w:eastAsia="仿宋"/>
          <w:color w:val="auto"/>
          <w:sz w:val="24"/>
          <w:szCs w:val="24"/>
          <w:highlight w:val="none"/>
          <w:lang w:val="en-US" w:eastAsia="zh-CN"/>
        </w:rPr>
        <w:t>此处报价为医院实际所得费用。</w:t>
      </w:r>
      <w:r>
        <w:rPr>
          <w:rFonts w:hint="eastAsia" w:ascii="仿宋" w:hAnsi="仿宋" w:eastAsia="仿宋" w:cs="Times New Roman"/>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3.报价是参选机构完成本项目全部工作内容的费用，包括完成本项目所涉及的人工劳务、设备投入、材料、知识产权、利润、风险、税金等一切费用。</w:t>
      </w:r>
    </w:p>
    <w:p>
      <w:pPr>
        <w:rPr>
          <w:color w:val="auto"/>
        </w:rPr>
      </w:pPr>
    </w:p>
    <w:p>
      <w:pPr>
        <w:rPr>
          <w:color w:val="FF0000"/>
        </w:rPr>
      </w:pPr>
    </w:p>
    <w:p>
      <w:pPr>
        <w:pStyle w:val="2"/>
        <w:rPr>
          <w:rFonts w:ascii="仿宋_GB2312" w:hAnsi="仿宋_GB2312" w:eastAsia="仿宋_GB2312" w:cs="仿宋_GB2312"/>
          <w:sz w:val="32"/>
          <w:szCs w:val="32"/>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_GB2312" w:hAnsi="仿宋_GB2312" w:eastAsia="仿宋_GB2312" w:cs="仿宋_GB2312"/>
          <w:b/>
          <w:bCs/>
          <w:color w:val="auto"/>
          <w:sz w:val="32"/>
          <w:szCs w:val="32"/>
        </w:rPr>
      </w:pPr>
      <w:r>
        <w:rPr>
          <w:rFonts w:hint="eastAsia" w:ascii="仿宋" w:hAnsi="仿宋" w:eastAsia="仿宋"/>
          <w:color w:val="auto"/>
          <w:sz w:val="32"/>
          <w:szCs w:val="32"/>
        </w:rPr>
        <w:t xml:space="preserve">附件8：                   </w:t>
      </w:r>
      <w:r>
        <w:rPr>
          <w:rFonts w:hint="eastAsia" w:ascii="仿宋_GB2312" w:hAnsi="仿宋_GB2312" w:eastAsia="仿宋_GB2312" w:cs="仿宋_GB2312"/>
          <w:b/>
          <w:bCs/>
          <w:color w:val="auto"/>
          <w:sz w:val="32"/>
          <w:szCs w:val="32"/>
        </w:rPr>
        <w:t xml:space="preserve">  评审办法（综合评分明细表）</w:t>
      </w:r>
    </w:p>
    <w:tbl>
      <w:tblPr>
        <w:tblStyle w:val="7"/>
        <w:tblW w:w="137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368"/>
        <w:gridCol w:w="1008"/>
        <w:gridCol w:w="7452"/>
        <w:gridCol w:w="3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评分因素及权重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报价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olor w:val="auto"/>
                <w:sz w:val="24"/>
                <w:szCs w:val="24"/>
                <w:highlight w:val="none"/>
                <w:lang w:val="en-US" w:eastAsia="zh-CN"/>
              </w:rPr>
              <w:t>充电服务费</w:t>
            </w:r>
            <w:r>
              <w:rPr>
                <w:rFonts w:hint="eastAsia" w:ascii="仿宋" w:hAnsi="仿宋" w:eastAsia="仿宋" w:cs="仿宋"/>
                <w:i w:val="0"/>
                <w:iCs w:val="0"/>
                <w:color w:val="auto"/>
                <w:kern w:val="0"/>
                <w:sz w:val="24"/>
                <w:szCs w:val="24"/>
                <w:highlight w:val="none"/>
                <w:u w:val="none"/>
                <w:lang w:val="en-US" w:eastAsia="zh-CN" w:bidi="ar"/>
              </w:rPr>
              <w:t>：价格最低的投标报价为评标基准价，其价格为满分。其他投标人的价格分统一按照下列公式计算：投标报价得分=（评标基准价/投标报价）×10。</w:t>
            </w:r>
          </w:p>
        </w:tc>
        <w:tc>
          <w:tcPr>
            <w:tcW w:w="32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综合管理费用：价格最高的投标报价为评标基准价，其价格为满分。其他投标人的价格分统一按照下列公式计算：投标报价得分=（投标报价/评标基准价）×10。</w:t>
            </w:r>
          </w:p>
        </w:tc>
        <w:tc>
          <w:tcPr>
            <w:tcW w:w="32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（39%）</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74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完全符合“附件1参选机构要求”中“一、遴选要求”，没有负偏离得39分；非“*”条款技术要求（负偏离），一项扣1分，“*”条款技术要求负偏离的，一项扣6分；扣完为止。</w:t>
            </w:r>
          </w:p>
        </w:tc>
        <w:tc>
          <w:tcPr>
            <w:tcW w:w="3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4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3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7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参选机构自2019年1月1日以来，承担过充电桩建设和运维相关的合作案例，每提供1个案例得2分，此项最多10分。</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（时间以合同签订为准，需同时提供合同复印件并加盖参选机构鲜章。）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服务能力</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1.施工方案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针对本项目施工方案包括但不限于：施工管理、施工工期计划、施工材料清单、施工保障措施、施工质量保证、安全措施（应急措施、防漏电、防触电、防雷、防火）等。方案完善可实施性强得11分，方案较为完善可实施性较强得7分，一般得3分；缺项得0分。</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2.运营服务保障方案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参选机构对经营与服务过程中的安全管理、安全防范、应急事故、纠纷处理、投诉等有具体应对方案和切实可行的措施。方案完善、措施可行且承诺，得15分，方案较完善、措施较可行的得9分，一般得3分；缺项得0分。</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3.信息安全保障方案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参选机构针对本项目信息安全方面提供详细的方案，评审小组根据方案内容科学性、完整性、合理性等进行综合评审。方案完善符合要求并提供具体信息安全保障内容的得5分，提供信息安全保障内容方案较为完善具体的得3分，提供信息安全保障内容方案一般得1分；缺项得0分。</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ascii="仿宋" w:hAnsi="仿宋" w:eastAsia="仿宋"/>
          <w:color w:val="FF0000"/>
          <w:sz w:val="28"/>
          <w:szCs w:val="28"/>
        </w:rPr>
      </w:pPr>
    </w:p>
    <w:p>
      <w:pPr>
        <w:rPr>
          <w:color w:val="FF0000"/>
        </w:rPr>
      </w:pP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659A1"/>
    <w:multiLevelType w:val="singleLevel"/>
    <w:tmpl w:val="82C659A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YTQyMGY1NTFlYzUxZGI4YTlkMmViZTU5MTI4MjAifQ=="/>
  </w:docVars>
  <w:rsids>
    <w:rsidRoot w:val="73916B7B"/>
    <w:rsid w:val="0353476D"/>
    <w:rsid w:val="03AA3E06"/>
    <w:rsid w:val="04C95300"/>
    <w:rsid w:val="06BC71B6"/>
    <w:rsid w:val="09E964BD"/>
    <w:rsid w:val="0EEE2907"/>
    <w:rsid w:val="0F767CD4"/>
    <w:rsid w:val="100C5CA9"/>
    <w:rsid w:val="130152C1"/>
    <w:rsid w:val="17D461DB"/>
    <w:rsid w:val="17E1499A"/>
    <w:rsid w:val="17F424C0"/>
    <w:rsid w:val="26D77F2B"/>
    <w:rsid w:val="2A232AD0"/>
    <w:rsid w:val="2E564C1E"/>
    <w:rsid w:val="2EB173D4"/>
    <w:rsid w:val="305730F2"/>
    <w:rsid w:val="326E5CA7"/>
    <w:rsid w:val="36A315BE"/>
    <w:rsid w:val="38B66F7E"/>
    <w:rsid w:val="391A56D3"/>
    <w:rsid w:val="395E0CCD"/>
    <w:rsid w:val="3A7737FE"/>
    <w:rsid w:val="3AF539A8"/>
    <w:rsid w:val="3B3E79F3"/>
    <w:rsid w:val="3BE36B6C"/>
    <w:rsid w:val="3F2D6C20"/>
    <w:rsid w:val="416C3EFB"/>
    <w:rsid w:val="417C4943"/>
    <w:rsid w:val="42C444AD"/>
    <w:rsid w:val="4C0624C1"/>
    <w:rsid w:val="50457606"/>
    <w:rsid w:val="50F83BA9"/>
    <w:rsid w:val="51681AC3"/>
    <w:rsid w:val="5772020A"/>
    <w:rsid w:val="5BBC5B64"/>
    <w:rsid w:val="607F0D55"/>
    <w:rsid w:val="63A14407"/>
    <w:rsid w:val="646360E0"/>
    <w:rsid w:val="680F6637"/>
    <w:rsid w:val="69241B93"/>
    <w:rsid w:val="6A092B01"/>
    <w:rsid w:val="6BCA2C30"/>
    <w:rsid w:val="6D3F7511"/>
    <w:rsid w:val="72EC7D4E"/>
    <w:rsid w:val="73916B7B"/>
    <w:rsid w:val="75012AEE"/>
    <w:rsid w:val="776578FC"/>
    <w:rsid w:val="79A40E03"/>
    <w:rsid w:val="7B123A7E"/>
    <w:rsid w:val="7FA3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BodyText1I"/>
    <w:basedOn w:val="12"/>
    <w:next w:val="1"/>
    <w:qFormat/>
    <w:uiPriority w:val="0"/>
    <w:pPr>
      <w:spacing w:line="576" w:lineRule="exact"/>
      <w:ind w:firstLine="880" w:firstLineChars="200"/>
      <w:textAlignment w:val="baseline"/>
    </w:pPr>
    <w:rPr>
      <w:rFonts w:ascii="仿宋_GB2312" w:hAnsi="仿宋_GB2312" w:eastAsia="仿宋_GB2312" w:cs="Times New Roman"/>
      <w:b w:val="0"/>
      <w:kern w:val="2"/>
      <w:sz w:val="32"/>
      <w:szCs w:val="21"/>
      <w:lang w:val="en-US" w:eastAsia="zh-CN" w:bidi="ar-SA"/>
    </w:rPr>
  </w:style>
  <w:style w:type="paragraph" w:customStyle="1" w:styleId="12">
    <w:name w:val="BodyText"/>
    <w:next w:val="1"/>
    <w:qFormat/>
    <w:uiPriority w:val="0"/>
    <w:pPr>
      <w:textAlignment w:val="baseline"/>
    </w:pPr>
    <w:rPr>
      <w:rFonts w:ascii="仿宋_GB2312" w:hAnsi="仿宋_GB2312" w:eastAsia="仿宋_GB2312" w:cs="Times New Roman"/>
      <w:b/>
      <w:bCs/>
      <w:kern w:val="2"/>
      <w:sz w:val="32"/>
      <w:szCs w:val="21"/>
      <w:lang w:val="en-US" w:eastAsia="zh-CN" w:bidi="ar-SA"/>
    </w:rPr>
  </w:style>
  <w:style w:type="paragraph" w:styleId="13">
    <w:name w:val="List Paragraph"/>
    <w:basedOn w:val="1"/>
    <w:qFormat/>
    <w:uiPriority w:val="34"/>
    <w:pPr>
      <w:ind w:firstLine="420" w:firstLineChars="200"/>
    </w:pPr>
  </w:style>
  <w:style w:type="character" w:customStyle="1" w:styleId="14">
    <w:name w:val="font31"/>
    <w:basedOn w:val="9"/>
    <w:qFormat/>
    <w:uiPriority w:val="0"/>
    <w:rPr>
      <w:rFonts w:hint="eastAsia" w:ascii="仿宋" w:hAnsi="仿宋" w:eastAsia="仿宋" w:cs="仿宋"/>
      <w:color w:val="000000"/>
      <w:sz w:val="22"/>
      <w:szCs w:val="22"/>
      <w:u w:val="none"/>
    </w:rPr>
  </w:style>
  <w:style w:type="character" w:customStyle="1" w:styleId="15">
    <w:name w:val="font01"/>
    <w:basedOn w:val="9"/>
    <w:qFormat/>
    <w:uiPriority w:val="0"/>
    <w:rPr>
      <w:rFonts w:hint="eastAsia" w:ascii="仿宋" w:hAnsi="仿宋" w:eastAsia="仿宋" w:cs="仿宋"/>
      <w:color w:val="000000"/>
      <w:sz w:val="24"/>
      <w:szCs w:val="24"/>
      <w:u w:val="none"/>
    </w:rPr>
  </w:style>
  <w:style w:type="paragraph" w:customStyle="1" w:styleId="16">
    <w:name w:val="Heading4"/>
    <w:basedOn w:val="1"/>
    <w:next w:val="1"/>
    <w:qFormat/>
    <w:uiPriority w:val="0"/>
    <w:pPr>
      <w:keepNext/>
      <w:keepLines/>
      <w:spacing w:line="576" w:lineRule="exact"/>
      <w:ind w:firstLine="880" w:firstLineChars="200"/>
      <w:jc w:val="both"/>
      <w:textAlignment w:val="baseline"/>
    </w:pPr>
    <w:rPr>
      <w:rFonts w:ascii="仿宋_GB2312" w:hAnsi="仿宋_GB2312" w:eastAsia="仿宋_GB2312"/>
      <w:kern w:val="2"/>
      <w:sz w:val="32"/>
      <w:szCs w:val="32"/>
      <w:lang w:val="en-US" w:eastAsia="zh-CN" w:bidi="ar-SA"/>
    </w:rPr>
  </w:style>
  <w:style w:type="character" w:customStyle="1" w:styleId="17">
    <w:name w:val="NormalCharacter"/>
    <w:link w:val="1"/>
    <w:qFormat/>
    <w:uiPriority w:val="0"/>
    <w:rPr>
      <w:rFonts w:ascii="Calibri" w:hAnsi="Calibri" w:eastAsia="宋体" w:cs="Times New Roman"/>
      <w:kern w:val="2"/>
      <w:sz w:val="21"/>
      <w:szCs w:val="24"/>
      <w:lang w:val="en-US" w:eastAsia="zh-CN" w:bidi="ar-SA"/>
    </w:rPr>
  </w:style>
  <w:style w:type="paragraph" w:customStyle="1" w:styleId="18">
    <w:name w:val="Heading3"/>
    <w:basedOn w:val="1"/>
    <w:next w:val="1"/>
    <w:qFormat/>
    <w:uiPriority w:val="0"/>
    <w:pPr>
      <w:keepNext/>
      <w:keepLines/>
      <w:spacing w:line="576" w:lineRule="exact"/>
      <w:ind w:firstLine="880" w:firstLineChars="200"/>
      <w:jc w:val="both"/>
      <w:textAlignment w:val="baseline"/>
    </w:pPr>
    <w:rPr>
      <w:rFonts w:ascii="楷体_GB2312" w:hAnsi="楷体_GB2312" w:eastAsia="楷体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6048</Words>
  <Characters>6424</Characters>
  <Lines>0</Lines>
  <Paragraphs>0</Paragraphs>
  <TotalTime>33</TotalTime>
  <ScaleCrop>false</ScaleCrop>
  <LinksUpToDate>false</LinksUpToDate>
  <CharactersWithSpaces>6532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2022-08-17T02:24:00Z</dcterms:created>
  <dc:creator>杨沁菀</dc:creator>
  <cp:lastModifiedBy>WPS_196971337</cp:lastModifiedBy>
  <cp:lastPrinted>2022-08-26T08:03:00Z</cp:lastPrinted>
  <dcterms:modified xsi:type="dcterms:W3CDTF">2022-09-02T00:46:44Z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C81118CA25FC48388BCB15AA67410A76</vt:lpwstr>
  </property>
</Properties>
</file>