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left"/>
        <w:rPr>
          <w:rFonts w:hint="default" w:ascii="方正小标宋简体" w:eastAsia="方正小标宋简体"/>
          <w:sz w:val="28"/>
          <w:szCs w:val="28"/>
          <w:lang w:val="en-US" w:eastAsia="zh-CN"/>
        </w:rPr>
      </w:pPr>
      <w:bookmarkStart w:id="0" w:name="_Hlk484384217"/>
      <w:r>
        <w:rPr>
          <w:rFonts w:hint="eastAsia" w:ascii="黑体" w:hAnsi="黑体" w:eastAsia="黑体" w:cs="黑体"/>
          <w:sz w:val="32"/>
          <w:szCs w:val="32"/>
          <w:lang w:val="en-US" w:eastAsia="zh-CN"/>
        </w:rPr>
        <w:t>附件一 采购需求</w:t>
      </w:r>
    </w:p>
    <w:bookmarkEnd w:id="0"/>
    <w:p>
      <w:pPr>
        <w:spacing w:line="440" w:lineRule="exact"/>
        <w:ind w:firstLine="487" w:firstLineChars="202"/>
        <w:rPr>
          <w:rFonts w:hint="eastAsia" w:ascii="仿宋_GB2312" w:eastAsia="仿宋_GB2312"/>
          <w:b/>
          <w:sz w:val="24"/>
        </w:rPr>
      </w:pPr>
      <w:bookmarkStart w:id="1" w:name="_Hlk524443917"/>
      <w:bookmarkStart w:id="2" w:name="_Hlk524443910"/>
    </w:p>
    <w:p>
      <w:pPr>
        <w:spacing w:line="440" w:lineRule="exact"/>
        <w:ind w:firstLine="487" w:firstLineChars="202"/>
        <w:rPr>
          <w:rFonts w:hint="eastAsia" w:ascii="黑体" w:hAnsi="黑体" w:eastAsia="黑体" w:cs="黑体"/>
          <w:b/>
          <w:sz w:val="24"/>
          <w:szCs w:val="24"/>
        </w:rPr>
      </w:pPr>
      <w:r>
        <w:rPr>
          <w:rFonts w:hint="eastAsia" w:ascii="黑体" w:hAnsi="黑体" w:eastAsia="黑体" w:cs="黑体"/>
          <w:b/>
          <w:sz w:val="24"/>
          <w:szCs w:val="24"/>
        </w:rPr>
        <w:t>一、项目概况</w:t>
      </w:r>
    </w:p>
    <w:p>
      <w:pPr>
        <w:keepNext w:val="0"/>
        <w:keepLines w:val="0"/>
        <w:widowControl/>
        <w:suppressLineNumbers w:val="0"/>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项目名称：四川省妇幼保健院</w:t>
      </w:r>
      <w:r>
        <w:rPr>
          <w:rFonts w:hint="eastAsia" w:ascii="宋体" w:hAnsi="宋体" w:eastAsia="宋体" w:cs="宋体"/>
          <w:b w:val="0"/>
          <w:bCs w:val="0"/>
          <w:sz w:val="24"/>
          <w:szCs w:val="24"/>
          <w:lang w:val="en-US" w:eastAsia="zh-CN"/>
        </w:rPr>
        <w:t>医护人员工作服、护士鞋、窗帘（围帘）和新生儿甲衣采购项目</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医院位置：成都市武侯区沙堰西二街290号</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cs="宋体"/>
          <w:b w:val="0"/>
          <w:bCs w:val="0"/>
          <w:sz w:val="24"/>
          <w:szCs w:val="24"/>
          <w:lang w:val="en-US" w:eastAsia="zh-CN"/>
        </w:rPr>
        <w:t>.采购</w:t>
      </w:r>
      <w:r>
        <w:rPr>
          <w:rFonts w:hint="eastAsia" w:ascii="宋体" w:hAnsi="宋体" w:eastAsia="宋体" w:cs="宋体"/>
          <w:b w:val="0"/>
          <w:bCs w:val="0"/>
          <w:sz w:val="24"/>
          <w:szCs w:val="24"/>
          <w:lang w:eastAsia="zh-CN"/>
        </w:rPr>
        <w:t>内容：</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护士服（冬、夏）、护士鞋（四季鞋）、医生服（冬、夏）、手术帽、护士毛衣、新生儿</w:t>
      </w:r>
      <w:r>
        <w:rPr>
          <w:rFonts w:hint="eastAsia" w:ascii="宋体" w:hAnsi="宋体" w:eastAsia="宋体" w:cs="宋体"/>
          <w:b w:val="0"/>
          <w:bCs w:val="0"/>
          <w:sz w:val="24"/>
          <w:szCs w:val="24"/>
          <w:lang w:val="en-US" w:eastAsia="zh-CN"/>
        </w:rPr>
        <w:t>夹衣</w:t>
      </w:r>
      <w:r>
        <w:rPr>
          <w:rFonts w:hint="eastAsia" w:ascii="宋体" w:hAnsi="宋体" w:eastAsia="宋体" w:cs="宋体"/>
          <w:b w:val="0"/>
          <w:bCs w:val="0"/>
          <w:sz w:val="24"/>
          <w:szCs w:val="24"/>
          <w:lang w:eastAsia="zh-CN"/>
        </w:rPr>
        <w:t>、孕妇装（冬、夏）、</w:t>
      </w:r>
      <w:r>
        <w:rPr>
          <w:rFonts w:hint="eastAsia" w:ascii="宋体" w:hAnsi="宋体" w:eastAsia="宋体" w:cs="宋体"/>
          <w:b w:val="0"/>
          <w:bCs w:val="0"/>
          <w:sz w:val="24"/>
          <w:szCs w:val="24"/>
          <w:lang w:val="en-US" w:eastAsia="zh-CN"/>
        </w:rPr>
        <w:t>护士鞋</w:t>
      </w:r>
      <w:r>
        <w:rPr>
          <w:rFonts w:hint="eastAsia" w:ascii="宋体" w:hAnsi="宋体" w:eastAsia="宋体" w:cs="宋体"/>
          <w:b w:val="0"/>
          <w:bCs w:val="0"/>
          <w:sz w:val="24"/>
          <w:szCs w:val="24"/>
          <w:lang w:eastAsia="zh-CN"/>
        </w:rPr>
        <w:t>。</w:t>
      </w:r>
    </w:p>
    <w:p>
      <w:pPr>
        <w:spacing w:line="440" w:lineRule="exact"/>
        <w:ind w:firstLine="487" w:firstLineChars="202"/>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本项目每年最高限价：¥450000.00元，报价包含人工费、材料费、运输费、安装费、版权使用费等所有含税费用。本项目采购总金额为暂定金额，具体金额以采购人下单为准。采购人有权根据实际情况对所需品种及数量进行调整。</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第一批制作工作服合同签订生效之日起60个工作日内交付采购人。（如遇特殊情况，在经采购人同意的情况下可适当延期）。</w:t>
      </w:r>
    </w:p>
    <w:p>
      <w:pPr>
        <w:spacing w:line="440" w:lineRule="exact"/>
        <w:rPr>
          <w:rFonts w:hint="eastAsia" w:ascii="黑体" w:hAnsi="黑体" w:eastAsia="黑体" w:cs="黑体"/>
          <w:b/>
          <w:sz w:val="24"/>
          <w:szCs w:val="24"/>
          <w:lang w:val="en-US" w:eastAsia="zh-CN"/>
        </w:rPr>
      </w:pPr>
    </w:p>
    <w:bookmarkEnd w:id="1"/>
    <w:bookmarkEnd w:id="2"/>
    <w:p>
      <w:pPr>
        <w:spacing w:line="440" w:lineRule="exact"/>
        <w:ind w:firstLine="487" w:firstLineChars="202"/>
        <w:rPr>
          <w:rFonts w:hint="eastAsia" w:ascii="黑体" w:hAnsi="黑体" w:eastAsia="黑体" w:cs="黑体"/>
          <w:b/>
          <w:sz w:val="24"/>
          <w:szCs w:val="24"/>
          <w:lang w:val="en-US" w:eastAsia="zh-CN"/>
        </w:rPr>
      </w:pPr>
      <w:bookmarkStart w:id="3" w:name="_Toc14289"/>
      <w:bookmarkStart w:id="4" w:name="_Toc185047515"/>
      <w:bookmarkStart w:id="5" w:name="_Toc30521"/>
      <w:bookmarkStart w:id="6" w:name="_Toc288"/>
      <w:r>
        <w:rPr>
          <w:rFonts w:hint="eastAsia" w:ascii="黑体" w:hAnsi="黑体" w:eastAsia="黑体" w:cs="黑体"/>
          <w:b/>
          <w:sz w:val="24"/>
          <w:szCs w:val="24"/>
          <w:lang w:val="en-US" w:eastAsia="zh-CN"/>
        </w:rPr>
        <w:t>三、采购类别和工作服综合单价最高限价需求明细</w:t>
      </w:r>
    </w:p>
    <w:tbl>
      <w:tblPr>
        <w:tblStyle w:val="11"/>
        <w:tblpPr w:leftFromText="180" w:rightFromText="180" w:vertAnchor="text" w:horzAnchor="page" w:tblpX="1438" w:tblpY="464"/>
        <w:tblOverlap w:val="never"/>
        <w:tblW w:w="9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7"/>
        <w:gridCol w:w="1343"/>
        <w:gridCol w:w="1087"/>
        <w:gridCol w:w="713"/>
        <w:gridCol w:w="1312"/>
        <w:gridCol w:w="1438"/>
        <w:gridCol w:w="2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类别</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品名</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规格</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最高限价（元/每件、套）</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配置</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2"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长袖长装</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医生服孕妇冬装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长袖长装</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医生服孕妇夏装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护士服冬装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1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护士服夏装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145.00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护士孕妇冬装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长袖长装+裤子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护士孕妇夏装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145.00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儿保冬装套装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150.00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儿保夏装套装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毛衣</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开衫毛衣</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122.00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新生儿</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新生儿夹衣</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根据需求进行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体检中心</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体检职业装冬装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量身定制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258.00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根据需求设计</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体检职业装夏装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量身定制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根据需求设计</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护士鞋</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四季护士鞋</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根据需求进行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122.00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p>
        </w:tc>
      </w:tr>
    </w:tbl>
    <w:p>
      <w:pPr>
        <w:spacing w:line="440" w:lineRule="exact"/>
        <w:ind w:firstLine="487" w:firstLineChars="202"/>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四、技术参数及要求</w:t>
      </w:r>
    </w:p>
    <w:p>
      <w:pPr>
        <w:pStyle w:val="2"/>
        <w:numPr>
          <w:ilvl w:val="0"/>
          <w:numId w:val="0"/>
        </w:numPr>
        <w:snapToGrid w:val="0"/>
        <w:spacing w:line="500" w:lineRule="exact"/>
        <w:jc w:val="left"/>
        <w:rPr>
          <w:rFonts w:hint="eastAsia" w:ascii="宋体" w:hAnsi="宋体" w:eastAsia="宋体" w:cs="宋体"/>
          <w:b/>
          <w:bCs/>
          <w:sz w:val="24"/>
          <w:szCs w:val="24"/>
        </w:rPr>
      </w:pPr>
      <w:r>
        <w:rPr>
          <w:rFonts w:hint="eastAsia" w:ascii="宋体" w:hAnsi="宋体" w:eastAsia="宋体" w:cs="宋体"/>
          <w:b/>
          <w:bCs/>
          <w:sz w:val="24"/>
          <w:szCs w:val="24"/>
          <w:lang w:eastAsia="zh-CN"/>
        </w:rPr>
        <w:t>（一）产品初步技术参数（以最终评审样品为准），要求未提供样品的投标人必须提供样品。</w:t>
      </w:r>
    </w:p>
    <w:tbl>
      <w:tblPr>
        <w:tblStyle w:val="11"/>
        <w:tblW w:w="8600" w:type="dxa"/>
        <w:tblInd w:w="-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5"/>
        <w:gridCol w:w="1422"/>
        <w:gridCol w:w="6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序号</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货物名称</w:t>
            </w: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医生服冬装（女医生孕妇冬装）</w:t>
            </w: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1、成分：93%涤±1（可含其他微量纤维），7%棉±1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2、甲醛含量：≤20mg/kg。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4、线密度：经纱：15.7tex（±2）*2-37.6s（±2）/2;经向长丝主体纱169.0dtex（±5%）-34.9s;  纬向：111.0dtex（±5%）-53.2s（±2）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5、水洗尺寸变化率：经向：0；纬向：≤-0.1（-表示收缩，+表示伸长）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6、单位面积质量：240±2g/㎡。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7、撕破强力（N)GB/T3917.2-2009裤形测试法:</w:t>
            </w:r>
            <w:r>
              <w:rPr>
                <w:rFonts w:hint="eastAsia" w:ascii="方正仿宋_GB2312" w:hAnsi="方正仿宋_GB2312" w:eastAsia="方正仿宋_GB2312" w:cs="方正仿宋_GB2312"/>
                <w:i w:val="0"/>
                <w:color w:val="FF0000"/>
                <w:kern w:val="0"/>
                <w:sz w:val="24"/>
                <w:szCs w:val="24"/>
                <w:u w:val="none"/>
                <w:lang w:val="en-US" w:eastAsia="zh-CN" w:bidi="ar"/>
              </w:rPr>
              <w:t>经向/N≥39</w:t>
            </w:r>
            <w:r>
              <w:rPr>
                <w:rFonts w:hint="eastAsia" w:ascii="方正仿宋_GB2312" w:hAnsi="方正仿宋_GB2312" w:eastAsia="方正仿宋_GB2312" w:cs="方正仿宋_GB2312"/>
                <w:i w:val="0"/>
                <w:color w:val="000000"/>
                <w:kern w:val="0"/>
                <w:sz w:val="24"/>
                <w:szCs w:val="24"/>
                <w:u w:val="none"/>
                <w:lang w:val="en-US" w:eastAsia="zh-CN" w:bidi="ar"/>
              </w:rPr>
              <w:t>；纬向</w:t>
            </w:r>
            <w:r>
              <w:rPr>
                <w:rFonts w:hint="eastAsia" w:ascii="方正仿宋_GB2312" w:hAnsi="方正仿宋_GB2312" w:eastAsia="方正仿宋_GB2312" w:cs="方正仿宋_GB2312"/>
                <w:i w:val="0"/>
                <w:color w:val="FF0000"/>
                <w:kern w:val="0"/>
                <w:sz w:val="24"/>
                <w:szCs w:val="24"/>
                <w:u w:val="none"/>
                <w:lang w:val="en-US" w:eastAsia="zh-CN" w:bidi="ar"/>
              </w:rPr>
              <w:t>/N</w:t>
            </w:r>
            <w:r>
              <w:rPr>
                <w:rFonts w:hint="eastAsia" w:ascii="方正仿宋_GB2312" w:hAnsi="方正仿宋_GB2312" w:eastAsia="方正仿宋_GB2312" w:cs="方正仿宋_GB2312"/>
                <w:i w:val="0"/>
                <w:color w:val="000000"/>
                <w:kern w:val="0"/>
                <w:sz w:val="24"/>
                <w:szCs w:val="24"/>
                <w:u w:val="none"/>
                <w:lang w:val="en-US" w:eastAsia="zh-CN" w:bidi="ar"/>
              </w:rPr>
              <w:t>≥29；GB/T3923.1-2013条样测试法：经向</w:t>
            </w:r>
            <w:r>
              <w:rPr>
                <w:rFonts w:hint="eastAsia" w:ascii="方正仿宋_GB2312" w:hAnsi="方正仿宋_GB2312" w:eastAsia="方正仿宋_GB2312" w:cs="方正仿宋_GB2312"/>
                <w:i w:val="0"/>
                <w:color w:val="FF0000"/>
                <w:kern w:val="0"/>
                <w:sz w:val="24"/>
                <w:szCs w:val="24"/>
                <w:u w:val="none"/>
                <w:lang w:val="en-US" w:eastAsia="zh-CN" w:bidi="ar"/>
              </w:rPr>
              <w:t>/N≥</w:t>
            </w:r>
            <w:r>
              <w:rPr>
                <w:rFonts w:hint="eastAsia" w:ascii="方正仿宋_GB2312" w:hAnsi="方正仿宋_GB2312" w:eastAsia="方正仿宋_GB2312" w:cs="方正仿宋_GB2312"/>
                <w:i w:val="0"/>
                <w:color w:val="000000"/>
                <w:kern w:val="0"/>
                <w:sz w:val="24"/>
                <w:szCs w:val="24"/>
                <w:u w:val="none"/>
                <w:lang w:val="en-US" w:eastAsia="zh-CN" w:bidi="ar"/>
              </w:rPr>
              <w:t>1700；纬向</w:t>
            </w:r>
            <w:r>
              <w:rPr>
                <w:rFonts w:hint="eastAsia" w:ascii="方正仿宋_GB2312" w:hAnsi="方正仿宋_GB2312" w:eastAsia="方正仿宋_GB2312" w:cs="方正仿宋_GB2312"/>
                <w:i w:val="0"/>
                <w:color w:val="FF0000"/>
                <w:kern w:val="0"/>
                <w:sz w:val="24"/>
                <w:szCs w:val="24"/>
                <w:u w:val="none"/>
                <w:lang w:val="en-US" w:eastAsia="zh-CN" w:bidi="ar"/>
              </w:rPr>
              <w:t>/N≥</w:t>
            </w:r>
            <w:r>
              <w:rPr>
                <w:rFonts w:hint="eastAsia" w:ascii="方正仿宋_GB2312" w:hAnsi="方正仿宋_GB2312" w:eastAsia="方正仿宋_GB2312" w:cs="方正仿宋_GB2312"/>
                <w:i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8、耐摩擦色牢度：≥4级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9、耐水色牢度：≥4级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10、耐皂洗色牢度：≥4级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11、抗菌效果：抑菌率：黄金葡萄球菌≥95%；大肠杆菌≥95%；白色念珠菌≥90%；肺炎克雷白氏菌≥95%；谷草芽孢杆菌≥95%；铜绿假单胞菌≥95%；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医生夏装工作服（女医生孕妇夏装）</w:t>
            </w: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1、成分：100%聚酯纤维（可含其他微量纤维）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2、单位面积质量：185g/㎡±5g/㎡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3、甲醛含量（mg/kg):≤75（B类），不得检出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5、起毛球性能：3-4级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6、撕破强力（冲击摆锤法）：</w:t>
            </w:r>
            <w:r>
              <w:rPr>
                <w:rFonts w:hint="eastAsia" w:ascii="方正仿宋_GB2312" w:hAnsi="方正仿宋_GB2312" w:eastAsia="方正仿宋_GB2312" w:cs="方正仿宋_GB2312"/>
                <w:i w:val="0"/>
                <w:color w:val="FF0000"/>
                <w:kern w:val="0"/>
                <w:sz w:val="24"/>
                <w:szCs w:val="24"/>
                <w:u w:val="none"/>
                <w:lang w:val="en-US" w:eastAsia="zh-CN" w:bidi="ar"/>
              </w:rPr>
              <w:t>经向/N≥32；纬向/N≥30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7、透气率mm/s:≥55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护士服冬装（护士孕妇冬装）</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1、成分：80%±2%聚酯纤维（可含其他微量纤维）,20%±2%棉。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2、单位面积质量：215g/㎡±5g/㎡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3、静电压半衰期：≤1.0s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4、电荷面密度：≤4uC/㎡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6、甲醛含量（mg/kg):≤75（B类）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8、耐干摩擦色牢度：≥4级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9、耐湿摩擦色牢度：≥4级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10、水洗尺寸变化率：直向：≤-0.8；横向：≤-1.3（-表示收缩，+表示伸长）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11、可萃取重金属含量（mg/kg):未检出；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护士服夏装     （护士孕妇夏装）</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1、成分：93%涤±1（可含其他微量纤维），7%棉±1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2、单位面积质量：200g/㎡±5g/㎡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3、静电压半衰期：≤ 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4、电荷面密度：≤4.0uC/㎡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7、耐干摩擦色牢度：≥4级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8、耐湿摩擦色牢度：≥4级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9、水洗尺寸变化率：经向：≤-0.3；纬向：≤-0.5（-表示收缩，+表示伸长）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10、撕破强力（N):经向≥30；纬向≥18；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11、织物密度：经向密度：650根/10cm±5；纬向密度390根/10cm±5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儿保科工作服冬装</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1、成分：80%±2%聚酯纤维（可含其他微量纤维）,20%±2%棉。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2、单位面积质量：215g/㎡±5g/㎡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FF0000"/>
                <w:sz w:val="24"/>
                <w:szCs w:val="24"/>
                <w:u w:val="none"/>
              </w:rPr>
            </w:pPr>
            <w:r>
              <w:rPr>
                <w:rFonts w:hint="eastAsia" w:ascii="方正仿宋_GB2312" w:hAnsi="方正仿宋_GB2312" w:eastAsia="方正仿宋_GB2312" w:cs="方正仿宋_GB2312"/>
                <w:i w:val="0"/>
                <w:color w:val="FF0000"/>
                <w:kern w:val="0"/>
                <w:sz w:val="24"/>
                <w:szCs w:val="24"/>
                <w:u w:val="none"/>
                <w:lang w:val="en-US" w:eastAsia="zh-CN" w:bidi="ar"/>
              </w:rPr>
              <w:t>3、静电压半衰期：≤1.0s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FF0000"/>
                <w:sz w:val="24"/>
                <w:szCs w:val="24"/>
                <w:u w:val="none"/>
              </w:rPr>
            </w:pPr>
            <w:r>
              <w:rPr>
                <w:rFonts w:hint="eastAsia" w:ascii="方正仿宋_GB2312" w:hAnsi="方正仿宋_GB2312" w:eastAsia="方正仿宋_GB2312" w:cs="方正仿宋_GB2312"/>
                <w:i w:val="0"/>
                <w:color w:val="FF0000"/>
                <w:kern w:val="0"/>
                <w:sz w:val="24"/>
                <w:szCs w:val="24"/>
                <w:u w:val="none"/>
                <w:lang w:val="en-US" w:eastAsia="zh-CN" w:bidi="ar"/>
              </w:rPr>
              <w:t>4、电荷面密度：≤4uC/㎡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6、甲醛含量（mg/kg):≤75（B类）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8、耐干摩擦色牢度：≥4级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9、耐湿摩擦色牢度：≥4级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10、水洗尺寸变化率：直向：≤-0.8；横向：≤-1.5（-表示收缩，+表示伸长）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11、可萃取重金属含量（mg/kg):未检出；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儿保科工作服夏装</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1、成分：93%涤±1（可含其他微量纤维），7%棉±1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2、单位面积质量：200g/㎡±5g/㎡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3、静电压半衰期：≤2.0 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4、电荷面密度：≤4.0uC/㎡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7、耐干摩擦色牢度：≥4级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8、耐湿摩擦色牢度：≥4级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9、水洗尺寸变化率：经向：≤-0.3；纬向：≤-0.5（-表示收缩，+表示伸长）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10、撕破强力（N):经向≥30；纬向≥18；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11、织物密度：经向密度：650根/10cm±5；纬向密度390根/10cm±5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护士毛衣</w:t>
            </w: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1、纤维含量：羊毛70%±5，晴纶30%±5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3、耐湿摩擦色牢度：≥4级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4、耐干摩擦色牢度：≥4级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8</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新生儿夹衣</w:t>
            </w: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符合GB 31701-2015《婴幼儿及儿童纺织产品安全技术规范》A类标准执行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9</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体检中心职业装冬装</w:t>
            </w: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面料品名：东丽防透面料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1.可分解有害芳香胺染料：≤20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2、甲醛含量（mg/kg):≤75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4、异味：无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5、纱支（Denier旦尼尔）：经向195±5，纬向150±5；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6、密度（根/cm）：680±5，纬向855±5；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7、水洗尺寸变化：经向≤-1.5；；纬向≤-1.5；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8、耐水色牢度：≥4级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9、耐摩擦色牢度：≥4级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10、耐酸碱汗渍色牢度：≥4级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10</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体检中心职业装夏装</w:t>
            </w: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面料品名：东丽防透面料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1.可分解有害芳香胺染料：≤20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2、甲醛含量（mg/kg):≤75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4、异味：无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5、纱支（Denier旦尼尔）：经向160±5，纬向190±5；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6、密度（根/cm）：经向515±5，纬向375±5；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7、水洗尺寸变化：经向≤-1.5；纬向≤-1.5；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8、耐水色牢度：≥4级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9、耐摩擦色牢度：≥4级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10、耐酸碱汗渍色牢度：≥4级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11</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病员服</w:t>
            </w: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1、面料成分：100%棉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3、甲醛含量（mg/kg):≤75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4、异味：无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6、织物密度：（根/cm）：经线210±5，纬向290±5；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12</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护士鞋（四季）</w:t>
            </w: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1、鞋面：采用优质的白色软牛皮。质地柔软、透气 吸汗、耐磨、不臭脚，易清洗，穿着舒适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2、里料：为透气超纤加海绵 ,舒适柔软透气。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3、鞋底：宽大弹性 U 型气垫加 EVA 船形底台，耐折 耐磨符合国家标准。特殊止滑刻纹，复合橡胶材质， 防滑，弹性佳，耐磨，静音，质轻。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4、鞋垫：3—6mm 天然乳胶外贴透气超纤软皮质材料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5、胶水：采用不含苯的环保胶水。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4"/>
                <w:szCs w:val="24"/>
                <w:u w:val="none"/>
              </w:rPr>
            </w:pPr>
            <w:r>
              <w:rPr>
                <w:rFonts w:hint="eastAsia" w:ascii="方正仿宋_GB2312" w:hAnsi="方正仿宋_GB2312" w:eastAsia="方正仿宋_GB2312" w:cs="方正仿宋_GB2312"/>
                <w:i w:val="0"/>
                <w:color w:val="000000"/>
                <w:kern w:val="0"/>
                <w:sz w:val="24"/>
                <w:szCs w:val="24"/>
                <w:u w:val="none"/>
                <w:lang w:val="en-US" w:eastAsia="zh-CN" w:bidi="ar"/>
              </w:rPr>
              <w:t>6、颜色：白色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color w:val="000000"/>
                <w:sz w:val="24"/>
                <w:szCs w:val="24"/>
                <w:u w:val="none"/>
              </w:rPr>
            </w:pPr>
          </w:p>
        </w:tc>
        <w:tc>
          <w:tcPr>
            <w:tcW w:w="6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4"/>
                <w:szCs w:val="24"/>
                <w:u w:val="none"/>
              </w:rPr>
            </w:pPr>
            <w:r>
              <w:rPr>
                <w:rFonts w:hint="eastAsia" w:ascii="方正仿宋_GB2312" w:hAnsi="方正仿宋_GB2312" w:eastAsia="方正仿宋_GB2312" w:cs="方正仿宋_GB2312"/>
                <w:b/>
                <w:i w:val="0"/>
                <w:color w:val="000000"/>
                <w:kern w:val="0"/>
                <w:sz w:val="24"/>
                <w:szCs w:val="24"/>
                <w:u w:val="none"/>
                <w:lang w:val="en-US" w:eastAsia="zh-CN" w:bidi="ar"/>
              </w:rPr>
              <w:t>备注：以上参数均需提供具有检测资质的检测机构出具的合格检测报告加盖投标人公章予以佐证。</w:t>
            </w:r>
          </w:p>
        </w:tc>
      </w:tr>
    </w:tbl>
    <w:p>
      <w:pPr>
        <w:spacing w:line="440" w:lineRule="exact"/>
        <w:jc w:val="left"/>
        <w:rPr>
          <w:rFonts w:hint="eastAsia" w:ascii="宋体" w:hAnsi="宋体" w:eastAsia="宋体" w:cs="宋体"/>
          <w:sz w:val="24"/>
          <w:szCs w:val="24"/>
          <w:lang w:val="en-US" w:eastAsia="zh-CN"/>
        </w:rPr>
      </w:pPr>
    </w:p>
    <w:p>
      <w:pPr>
        <w:autoSpaceDE w:val="0"/>
        <w:spacing w:line="360" w:lineRule="auto"/>
        <w:ind w:firstLine="0" w:firstLineChars="0"/>
        <w:rPr>
          <w:rFonts w:ascii="仿宋" w:hAnsi="仿宋" w:eastAsia="仿宋"/>
          <w:sz w:val="24"/>
        </w:rPr>
      </w:pPr>
      <w:r>
        <w:rPr>
          <w:rFonts w:hint="eastAsia"/>
          <w:lang w:val="en-US" w:eastAsia="zh-CN"/>
        </w:rPr>
        <w:t>（二）</w:t>
      </w:r>
      <w:r>
        <w:rPr>
          <w:rFonts w:hint="eastAsia" w:ascii="仿宋" w:hAnsi="仿宋" w:eastAsia="仿宋"/>
          <w:sz w:val="24"/>
        </w:rPr>
        <w:t>服务要求</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服装成品质量要求</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①达到一等品，质量合格率需达到100%。</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②单项服装成品的返修率需在3%及以下。</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③如单项服装成品的返修率高于3%，采购方有权要求对该批次服装进行重新制作。</w:t>
      </w:r>
    </w:p>
    <w:p>
      <w:pPr>
        <w:autoSpaceDE w:val="0"/>
        <w:adjustRightInd w:val="0"/>
        <w:snapToGrid w:val="0"/>
        <w:spacing w:after="0" w:line="360" w:lineRule="auto"/>
        <w:ind w:left="420" w:leftChars="200"/>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量体裁衣及标签管理</w:t>
      </w:r>
    </w:p>
    <w:p>
      <w:pPr>
        <w:autoSpaceDE w:val="0"/>
        <w:adjustRightInd w:val="0"/>
        <w:snapToGrid w:val="0"/>
        <w:spacing w:line="360" w:lineRule="auto"/>
        <w:ind w:firstLine="480" w:firstLineChars="200"/>
        <w:rPr>
          <w:rFonts w:ascii="仿宋" w:hAnsi="仿宋" w:eastAsia="仿宋"/>
          <w:sz w:val="24"/>
          <w:highlight w:val="yellow"/>
        </w:rPr>
      </w:pPr>
      <w:r>
        <w:rPr>
          <w:rFonts w:hint="eastAsia" w:ascii="仿宋" w:hAnsi="仿宋" w:eastAsia="仿宋"/>
          <w:sz w:val="24"/>
          <w:highlight w:val="yellow"/>
        </w:rPr>
        <w:t>中标供应商应于签订合同后的</w:t>
      </w:r>
      <w:r>
        <w:rPr>
          <w:rFonts w:hint="eastAsia" w:ascii="仿宋" w:hAnsi="仿宋" w:eastAsia="仿宋"/>
          <w:color w:val="FF0000"/>
          <w:sz w:val="24"/>
          <w:highlight w:val="yellow"/>
          <w:lang w:eastAsia="zh-CN"/>
        </w:rPr>
        <w:t>1</w:t>
      </w:r>
      <w:r>
        <w:rPr>
          <w:rFonts w:hint="eastAsia" w:ascii="仿宋" w:hAnsi="仿宋" w:eastAsia="仿宋"/>
          <w:color w:val="FF0000"/>
          <w:sz w:val="24"/>
          <w:highlight w:val="yellow"/>
          <w:lang w:val="en-US" w:eastAsia="zh-CN"/>
        </w:rPr>
        <w:t>0</w:t>
      </w:r>
      <w:r>
        <w:rPr>
          <w:rFonts w:hint="eastAsia" w:ascii="仿宋" w:hAnsi="仿宋" w:eastAsia="仿宋"/>
          <w:color w:val="FF0000"/>
          <w:sz w:val="24"/>
          <w:highlight w:val="yellow"/>
        </w:rPr>
        <w:t>日</w:t>
      </w:r>
      <w:r>
        <w:rPr>
          <w:rFonts w:hint="eastAsia" w:ascii="仿宋" w:hAnsi="仿宋" w:eastAsia="仿宋"/>
          <w:sz w:val="24"/>
          <w:highlight w:val="yellow"/>
        </w:rPr>
        <w:t>内，在采购人指定的地点现场为每位工作人员测量服装尺寸并做好记录及标签，以保障定制的服装更加合体。</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设计制作成果质量保证</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供应商制作前应与采购人协商确定工作服样式、颜色等内容后开展制作。</w:t>
      </w:r>
    </w:p>
    <w:p>
      <w:pPr>
        <w:autoSpaceDE w:val="0"/>
        <w:adjustRightInd w:val="0"/>
        <w:snapToGrid w:val="0"/>
        <w:spacing w:line="360" w:lineRule="auto"/>
        <w:ind w:firstLine="0" w:firstLineChars="0"/>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质保要求</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①服装质保期不得少于1年（验收合格之日起）。质保期内提供质量“三包”服务。</w:t>
      </w:r>
    </w:p>
    <w:p>
      <w:pPr>
        <w:autoSpaceDE w:val="0"/>
        <w:adjustRightInd w:val="0"/>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②质保期内，供应商提供的一切服务（包含但不限于上门服务、差旅费等）均应考虑在报价内，采购人不另行支付。质保期内定制的服装有质量问题的，先修理，2次修理仍不能达到相关质量标准存在确需更换供应商在15日内无条件更换。供应商在质保期内均应当为采购人提供技术支持（服装修改、现场量体等服务）服务。</w:t>
      </w:r>
    </w:p>
    <w:p>
      <w:pPr>
        <w:pStyle w:val="9"/>
        <w:spacing w:line="500" w:lineRule="exact"/>
        <w:ind w:firstLine="480" w:firstLineChars="200"/>
        <w:rPr>
          <w:rFonts w:hint="eastAsia" w:ascii="仿宋" w:hAnsi="仿宋" w:eastAsia="仿宋" w:cs="Arial"/>
          <w:kern w:val="2"/>
          <w:sz w:val="24"/>
          <w:szCs w:val="22"/>
          <w:highlight w:val="none"/>
        </w:rPr>
      </w:pPr>
      <w:r>
        <w:rPr>
          <w:rFonts w:hint="eastAsia" w:ascii="仿宋" w:hAnsi="仿宋" w:eastAsia="仿宋" w:cs="Arial"/>
          <w:kern w:val="2"/>
          <w:sz w:val="24"/>
          <w:szCs w:val="22"/>
          <w:highlight w:val="none"/>
          <w:lang w:val="en-US" w:eastAsia="zh-CN"/>
        </w:rPr>
        <w:t>5.</w:t>
      </w:r>
      <w:r>
        <w:rPr>
          <w:rFonts w:hint="eastAsia" w:ascii="仿宋" w:hAnsi="仿宋" w:eastAsia="仿宋" w:cs="Arial"/>
          <w:kern w:val="2"/>
          <w:sz w:val="24"/>
          <w:szCs w:val="22"/>
          <w:highlight w:val="none"/>
        </w:rPr>
        <w:t>中标供应商接到采购人通知后及时响应并在一周内完成相应物资供应，如采购人需要供应商到现场确定的参数事宜，原则上应1天内到达现场。紧急情况下按采购人要求及时完成相应工作内容。</w:t>
      </w:r>
    </w:p>
    <w:p>
      <w:pPr>
        <w:pStyle w:val="9"/>
        <w:spacing w:line="500" w:lineRule="exact"/>
        <w:ind w:firstLine="480" w:firstLineChars="200"/>
        <w:rPr>
          <w:rFonts w:hint="eastAsia" w:ascii="仿宋" w:hAnsi="仿宋" w:eastAsia="仿宋" w:cs="Arial"/>
          <w:kern w:val="2"/>
          <w:sz w:val="24"/>
          <w:szCs w:val="22"/>
          <w:highlight w:val="none"/>
          <w:lang w:val="en-US" w:eastAsia="zh-CN"/>
        </w:rPr>
      </w:pPr>
      <w:r>
        <w:rPr>
          <w:rFonts w:hint="eastAsia" w:ascii="仿宋" w:hAnsi="仿宋" w:eastAsia="仿宋" w:cs="Arial"/>
          <w:kern w:val="2"/>
          <w:sz w:val="24"/>
          <w:szCs w:val="22"/>
          <w:highlight w:val="none"/>
          <w:lang w:val="en-US" w:eastAsia="zh-CN"/>
        </w:rPr>
        <w:t>6.</w:t>
      </w:r>
      <w:r>
        <w:rPr>
          <w:rFonts w:hint="eastAsia" w:ascii="仿宋" w:hAnsi="仿宋" w:eastAsia="仿宋" w:cs="Arial"/>
          <w:kern w:val="2"/>
          <w:sz w:val="24"/>
          <w:szCs w:val="22"/>
          <w:highlight w:val="none"/>
        </w:rPr>
        <w:t>采购人根据合同定期对供应商服务时效、价格、质量等情况进行考核，若考核结果未达到采购人要求，采购人将对成交供应商进行约谈，约谈后若未及时整改采购人有权终止合同。</w:t>
      </w:r>
    </w:p>
    <w:p>
      <w:pPr>
        <w:rPr>
          <w:rFonts w:hint="eastAsia"/>
        </w:rPr>
      </w:pPr>
    </w:p>
    <w:p>
      <w:pPr>
        <w:pStyle w:val="15"/>
        <w:numPr>
          <w:ilvl w:val="1"/>
          <w:numId w:val="0"/>
        </w:numPr>
        <w:wordWrap/>
        <w:topLinePunct w:val="0"/>
        <w:spacing w:line="360" w:lineRule="auto"/>
        <w:ind w:left="0" w:leftChars="0" w:firstLine="0" w:firstLineChars="0"/>
        <w:rPr>
          <w:rFonts w:hint="eastAsia" w:ascii="仿宋" w:hAnsi="仿宋" w:eastAsia="仿宋"/>
          <w:sz w:val="24"/>
          <w:szCs w:val="24"/>
        </w:rPr>
      </w:pPr>
      <w:r>
        <w:rPr>
          <w:rFonts w:hint="eastAsia" w:ascii="仿宋" w:hAnsi="仿宋" w:eastAsia="仿宋"/>
          <w:b w:val="0"/>
          <w:bCs/>
          <w:sz w:val="24"/>
          <w:szCs w:val="24"/>
          <w:lang w:eastAsia="zh-CN"/>
        </w:rPr>
        <w:t>（</w:t>
      </w:r>
      <w:r>
        <w:rPr>
          <w:rFonts w:hint="eastAsia" w:ascii="仿宋" w:hAnsi="仿宋" w:eastAsia="仿宋"/>
          <w:b w:val="0"/>
          <w:bCs/>
          <w:sz w:val="24"/>
          <w:szCs w:val="24"/>
          <w:lang w:val="en-US" w:eastAsia="zh-CN"/>
        </w:rPr>
        <w:t>四</w:t>
      </w:r>
      <w:r>
        <w:rPr>
          <w:rFonts w:hint="eastAsia" w:ascii="仿宋" w:hAnsi="仿宋" w:eastAsia="仿宋"/>
          <w:b w:val="0"/>
          <w:bCs/>
          <w:sz w:val="24"/>
          <w:szCs w:val="24"/>
          <w:lang w:eastAsia="zh-CN"/>
        </w:rPr>
        <w:t>）</w:t>
      </w:r>
      <w:r>
        <w:rPr>
          <w:rFonts w:hint="eastAsia" w:ascii="仿宋" w:hAnsi="仿宋" w:eastAsia="仿宋"/>
          <w:sz w:val="24"/>
          <w:szCs w:val="24"/>
        </w:rPr>
        <w:t>制作要求</w:t>
      </w:r>
    </w:p>
    <w:p>
      <w:pPr>
        <w:pStyle w:val="15"/>
        <w:numPr>
          <w:ilvl w:val="1"/>
          <w:numId w:val="0"/>
        </w:numPr>
        <w:wordWrap/>
        <w:topLinePunct w:val="0"/>
        <w:spacing w:line="360" w:lineRule="auto"/>
        <w:ind w:left="420" w:leftChars="200"/>
        <w:rPr>
          <w:rFonts w:hint="eastAsia" w:ascii="仿宋" w:hAnsi="仿宋" w:eastAsia="仿宋"/>
          <w:b w:val="0"/>
          <w:bCs/>
          <w:sz w:val="24"/>
          <w:szCs w:val="24"/>
          <w:highlight w:val="none"/>
        </w:rPr>
      </w:pPr>
      <w:r>
        <w:rPr>
          <w:rFonts w:hint="eastAsia" w:ascii="仿宋" w:hAnsi="仿宋" w:eastAsia="仿宋"/>
          <w:b w:val="0"/>
          <w:bCs/>
          <w:sz w:val="24"/>
          <w:szCs w:val="24"/>
          <w:highlight w:val="none"/>
          <w:lang w:val="en-US" w:eastAsia="zh-CN"/>
        </w:rPr>
        <w:t>1.</w:t>
      </w:r>
      <w:r>
        <w:rPr>
          <w:rFonts w:hint="eastAsia" w:ascii="仿宋" w:hAnsi="仿宋" w:eastAsia="仿宋"/>
          <w:b w:val="0"/>
          <w:bCs/>
          <w:sz w:val="24"/>
          <w:szCs w:val="24"/>
          <w:highlight w:val="none"/>
        </w:rPr>
        <w:t>针路要平直、圆滑不起皱、不扭曲；松紧度应适宜保证上、下线无浮结现象。</w:t>
      </w:r>
    </w:p>
    <w:p>
      <w:pPr>
        <w:pStyle w:val="15"/>
        <w:numPr>
          <w:ilvl w:val="1"/>
          <w:numId w:val="0"/>
        </w:numPr>
        <w:wordWrap/>
        <w:topLinePunct w:val="0"/>
        <w:spacing w:line="360" w:lineRule="auto"/>
        <w:ind w:left="420" w:leftChars="200"/>
        <w:rPr>
          <w:rFonts w:hint="eastAsia" w:ascii="仿宋" w:hAnsi="仿宋" w:eastAsia="仿宋"/>
          <w:b w:val="0"/>
          <w:bCs/>
          <w:sz w:val="24"/>
          <w:szCs w:val="24"/>
          <w:highlight w:val="none"/>
        </w:rPr>
      </w:pPr>
      <w:r>
        <w:rPr>
          <w:rFonts w:hint="eastAsia" w:ascii="仿宋" w:hAnsi="仿宋" w:eastAsia="仿宋"/>
          <w:b w:val="0"/>
          <w:bCs/>
          <w:sz w:val="24"/>
          <w:szCs w:val="24"/>
          <w:highlight w:val="none"/>
          <w:lang w:val="en-US" w:eastAsia="zh-CN"/>
        </w:rPr>
        <w:t>2.</w:t>
      </w:r>
      <w:r>
        <w:rPr>
          <w:rFonts w:hint="eastAsia" w:ascii="仿宋" w:hAnsi="仿宋" w:eastAsia="仿宋"/>
          <w:b w:val="0"/>
          <w:bCs/>
          <w:sz w:val="24"/>
          <w:szCs w:val="24"/>
          <w:highlight w:val="none"/>
        </w:rPr>
        <w:t>线路线级平整流畅，无明显歪曲或者堆砌，无跳针，开线，断线，散边等。每厘米4-5针，无线头、残布、揉洗机洗不断线、不裂缝。</w:t>
      </w:r>
    </w:p>
    <w:p>
      <w:pPr>
        <w:pStyle w:val="15"/>
        <w:numPr>
          <w:ilvl w:val="1"/>
          <w:numId w:val="0"/>
        </w:numPr>
        <w:wordWrap/>
        <w:topLinePunct w:val="0"/>
        <w:spacing w:line="360" w:lineRule="auto"/>
        <w:ind w:left="420" w:leftChars="200"/>
        <w:rPr>
          <w:rFonts w:ascii="仿宋" w:hAnsi="仿宋" w:eastAsia="仿宋"/>
          <w:b w:val="0"/>
          <w:bCs/>
          <w:sz w:val="24"/>
          <w:szCs w:val="24"/>
          <w:highlight w:val="none"/>
        </w:rPr>
      </w:pPr>
      <w:r>
        <w:rPr>
          <w:rFonts w:hint="eastAsia" w:ascii="仿宋" w:hAnsi="仿宋" w:eastAsia="仿宋"/>
          <w:b w:val="0"/>
          <w:bCs/>
          <w:sz w:val="24"/>
          <w:szCs w:val="24"/>
          <w:highlight w:val="none"/>
          <w:lang w:val="en-US" w:eastAsia="zh-CN"/>
        </w:rPr>
        <w:t>3.</w:t>
      </w:r>
      <w:r>
        <w:rPr>
          <w:rFonts w:hint="eastAsia" w:ascii="仿宋" w:hAnsi="仿宋" w:eastAsia="仿宋"/>
          <w:b w:val="0"/>
          <w:bCs/>
          <w:sz w:val="24"/>
          <w:szCs w:val="24"/>
          <w:highlight w:val="none"/>
        </w:rPr>
        <w:t>明线要求为：宽窄要一致,不能时宽时窄。</w:t>
      </w:r>
      <w:r>
        <w:rPr>
          <w:rFonts w:hint="eastAsia" w:ascii="仿宋" w:hAnsi="仿宋" w:eastAsia="仿宋"/>
          <w:b w:val="0"/>
          <w:bCs/>
          <w:sz w:val="24"/>
          <w:szCs w:val="24"/>
          <w:highlight w:val="none"/>
        </w:rPr>
        <w:br w:type="textWrapping"/>
      </w:r>
      <w:r>
        <w:rPr>
          <w:rFonts w:hint="eastAsia" w:ascii="仿宋" w:hAnsi="仿宋" w:eastAsia="仿宋"/>
          <w:b w:val="0"/>
          <w:bCs/>
          <w:sz w:val="24"/>
          <w:szCs w:val="24"/>
          <w:highlight w:val="none"/>
          <w:lang w:val="en-US" w:eastAsia="zh-CN"/>
        </w:rPr>
        <w:t>4.</w:t>
      </w:r>
      <w:r>
        <w:rPr>
          <w:rFonts w:hint="eastAsia" w:ascii="仿宋" w:hAnsi="仿宋" w:eastAsia="仿宋"/>
          <w:b w:val="0"/>
          <w:bCs/>
          <w:sz w:val="24"/>
          <w:szCs w:val="24"/>
          <w:highlight w:val="none"/>
        </w:rPr>
        <w:t>底线避免打结和油污现象，无明显的纱疵、无毛粒、无条印、折痕、锈斑等、无破洞、磨损。</w:t>
      </w:r>
      <w:r>
        <w:rPr>
          <w:rFonts w:hint="eastAsia" w:ascii="仿宋" w:hAnsi="仿宋" w:eastAsia="仿宋"/>
          <w:b w:val="0"/>
          <w:bCs/>
          <w:sz w:val="24"/>
          <w:szCs w:val="24"/>
          <w:highlight w:val="none"/>
        </w:rPr>
        <w:br w:type="textWrapping"/>
      </w:r>
      <w:r>
        <w:rPr>
          <w:rFonts w:hint="eastAsia" w:ascii="仿宋" w:hAnsi="仿宋" w:eastAsia="仿宋"/>
          <w:b w:val="0"/>
          <w:bCs/>
          <w:sz w:val="24"/>
          <w:szCs w:val="24"/>
          <w:highlight w:val="none"/>
          <w:lang w:val="en-US" w:eastAsia="zh-CN"/>
        </w:rPr>
        <w:t>5.</w:t>
      </w:r>
      <w:r>
        <w:rPr>
          <w:rFonts w:hint="eastAsia" w:ascii="仿宋" w:hAnsi="仿宋" w:eastAsia="仿宋"/>
          <w:b w:val="0"/>
          <w:bCs/>
          <w:sz w:val="24"/>
          <w:szCs w:val="24"/>
          <w:highlight w:val="none"/>
        </w:rPr>
        <w:t>钉扣牢固、钉线透布层，四眼扣的钉线应并列、首尾结牢。</w:t>
      </w:r>
      <w:r>
        <w:rPr>
          <w:rFonts w:hint="eastAsia" w:ascii="仿宋" w:hAnsi="仿宋" w:eastAsia="仿宋"/>
          <w:b w:val="0"/>
          <w:bCs/>
          <w:sz w:val="24"/>
          <w:szCs w:val="24"/>
          <w:highlight w:val="none"/>
        </w:rPr>
        <w:br w:type="textWrapping"/>
      </w:r>
      <w:r>
        <w:rPr>
          <w:rFonts w:hint="eastAsia" w:ascii="仿宋" w:hAnsi="仿宋" w:eastAsia="仿宋"/>
          <w:b w:val="0"/>
          <w:bCs/>
          <w:sz w:val="24"/>
          <w:szCs w:val="24"/>
          <w:highlight w:val="none"/>
          <w:lang w:val="en-US" w:eastAsia="zh-CN"/>
        </w:rPr>
        <w:t>6.</w:t>
      </w:r>
      <w:r>
        <w:rPr>
          <w:rFonts w:hint="eastAsia" w:ascii="仿宋" w:hAnsi="仿宋" w:eastAsia="仿宋"/>
          <w:b w:val="0"/>
          <w:bCs/>
          <w:sz w:val="24"/>
          <w:szCs w:val="24"/>
          <w:highlight w:val="none"/>
        </w:rPr>
        <w:t>锁扣眼应匀整、完全、美观、扣子及扣眼正对，允许偏差不大于0.2厘米，扣眼开通。</w:t>
      </w:r>
    </w:p>
    <w:p>
      <w:pPr>
        <w:pStyle w:val="15"/>
        <w:numPr>
          <w:ilvl w:val="1"/>
          <w:numId w:val="0"/>
        </w:numPr>
        <w:wordWrap/>
        <w:topLinePunct w:val="0"/>
        <w:spacing w:line="360" w:lineRule="auto"/>
        <w:ind w:firstLine="480" w:firstLineChars="200"/>
        <w:rPr>
          <w:rFonts w:ascii="仿宋" w:hAnsi="仿宋" w:eastAsia="仿宋"/>
          <w:b w:val="0"/>
          <w:bCs/>
          <w:sz w:val="24"/>
          <w:szCs w:val="24"/>
          <w:highlight w:val="none"/>
        </w:rPr>
      </w:pPr>
      <w:r>
        <w:rPr>
          <w:rFonts w:hint="eastAsia" w:ascii="仿宋" w:hAnsi="仿宋" w:eastAsia="仿宋"/>
          <w:b w:val="0"/>
          <w:bCs/>
          <w:sz w:val="24"/>
          <w:szCs w:val="24"/>
          <w:highlight w:val="none"/>
          <w:lang w:val="en-US" w:eastAsia="zh-CN"/>
        </w:rPr>
        <w:t>7.</w:t>
      </w:r>
      <w:r>
        <w:rPr>
          <w:rFonts w:hint="eastAsia" w:ascii="仿宋" w:hAnsi="仿宋" w:eastAsia="仿宋"/>
          <w:b w:val="0"/>
          <w:bCs/>
          <w:sz w:val="24"/>
          <w:szCs w:val="24"/>
          <w:highlight w:val="none"/>
        </w:rPr>
        <w:t>画线、做记号不能用彩色画粉，所有唛头不能用铅笔、圆珠笔涂写</w:t>
      </w:r>
    </w:p>
    <w:p>
      <w:pPr>
        <w:pStyle w:val="15"/>
        <w:numPr>
          <w:ilvl w:val="1"/>
          <w:numId w:val="0"/>
        </w:numPr>
        <w:wordWrap/>
        <w:topLinePunct w:val="0"/>
        <w:spacing w:line="360" w:lineRule="auto"/>
        <w:ind w:left="420" w:leftChars="200"/>
        <w:rPr>
          <w:rFonts w:hint="eastAsia" w:ascii="仿宋" w:hAnsi="仿宋" w:eastAsia="仿宋"/>
          <w:b w:val="0"/>
          <w:bCs/>
          <w:sz w:val="24"/>
          <w:szCs w:val="24"/>
          <w:highlight w:val="none"/>
        </w:rPr>
      </w:pPr>
      <w:r>
        <w:rPr>
          <w:rFonts w:hint="eastAsia" w:ascii="仿宋" w:hAnsi="仿宋" w:eastAsia="仿宋"/>
          <w:b w:val="0"/>
          <w:bCs/>
          <w:sz w:val="24"/>
          <w:szCs w:val="24"/>
          <w:highlight w:val="none"/>
          <w:lang w:val="en-US" w:eastAsia="zh-CN"/>
        </w:rPr>
        <w:t>8.</w:t>
      </w:r>
      <w:r>
        <w:rPr>
          <w:rFonts w:hint="eastAsia" w:ascii="仿宋" w:hAnsi="仿宋" w:eastAsia="仿宋"/>
          <w:b w:val="0"/>
          <w:bCs/>
          <w:sz w:val="24"/>
          <w:szCs w:val="24"/>
          <w:highlight w:val="none"/>
        </w:rPr>
        <w:t>合体率＞95%。</w:t>
      </w:r>
    </w:p>
    <w:p>
      <w:pPr>
        <w:pStyle w:val="10"/>
        <w:rPr>
          <w:rFonts w:hint="eastAsia"/>
        </w:rPr>
      </w:pPr>
    </w:p>
    <w:p>
      <w:pPr>
        <w:autoSpaceDE w:val="0"/>
        <w:adjustRightInd w:val="0"/>
        <w:snapToGrid w:val="0"/>
        <w:spacing w:line="360" w:lineRule="auto"/>
        <w:ind w:firstLine="0" w:firstLineChars="0"/>
        <w:rPr>
          <w:rFonts w:ascii="仿宋" w:hAnsi="仿宋" w:eastAsia="仿宋"/>
          <w:sz w:val="24"/>
        </w:rPr>
      </w:pPr>
      <w:r>
        <w:rPr>
          <w:rFonts w:hint="eastAsia"/>
          <w:lang w:val="en-US" w:eastAsia="zh-CN"/>
        </w:rPr>
        <w:t>（五）</w:t>
      </w:r>
      <w:r>
        <w:rPr>
          <w:rFonts w:hint="eastAsia" w:ascii="仿宋" w:hAnsi="仿宋" w:eastAsia="仿宋"/>
          <w:sz w:val="24"/>
        </w:rPr>
        <w:t>考核（验收）标准和方法</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w:t>
      </w:r>
      <w:r>
        <w:rPr>
          <w:rFonts w:hint="eastAsia" w:ascii="仿宋" w:hAnsi="仿宋" w:eastAsia="仿宋"/>
          <w:sz w:val="24"/>
        </w:rPr>
        <w:t>由采购人组织验收。投标人与采购人应严格按照《财政部关于进一步加强政府采购需求和履约验收管理的指导意见》（财库〔2016〕205号）的要求进行验收。</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w:t>
      </w:r>
      <w:r>
        <w:rPr>
          <w:rFonts w:hint="eastAsia" w:ascii="仿宋" w:hAnsi="仿宋" w:eastAsia="仿宋"/>
          <w:sz w:val="24"/>
        </w:rPr>
        <w:t>中标人在交货前所有面料须提供202</w:t>
      </w:r>
      <w:r>
        <w:rPr>
          <w:rFonts w:hint="eastAsia" w:ascii="仿宋" w:hAnsi="仿宋" w:eastAsia="仿宋"/>
          <w:sz w:val="24"/>
          <w:lang w:val="en-US" w:eastAsia="zh-CN"/>
        </w:rPr>
        <w:t>1</w:t>
      </w:r>
      <w:r>
        <w:rPr>
          <w:rFonts w:hint="eastAsia" w:ascii="仿宋" w:hAnsi="仿宋" w:eastAsia="仿宋"/>
          <w:sz w:val="24"/>
        </w:rPr>
        <w:t>年或20</w:t>
      </w:r>
      <w:r>
        <w:rPr>
          <w:rFonts w:hint="eastAsia" w:ascii="仿宋" w:hAnsi="仿宋" w:eastAsia="仿宋"/>
          <w:sz w:val="24"/>
          <w:lang w:val="en-US" w:eastAsia="zh-CN"/>
        </w:rPr>
        <w:t>22</w:t>
      </w:r>
      <w:r>
        <w:rPr>
          <w:rFonts w:hint="eastAsia" w:ascii="仿宋" w:hAnsi="仿宋" w:eastAsia="仿宋"/>
          <w:sz w:val="24"/>
        </w:rPr>
        <w:t>年的第三方具有检测资质的检测机构出具的有效的质量检测报告，交货后采购方可对货物进行抽检，若发现所有的面料及辅料与封板样品及投标文件不相符的，有权退货并不予付款。</w:t>
      </w:r>
    </w:p>
    <w:p>
      <w:pPr>
        <w:pStyle w:val="5"/>
      </w:pPr>
    </w:p>
    <w:p>
      <w:pPr>
        <w:pStyle w:val="10"/>
        <w:rPr>
          <w:rFonts w:hint="eastAsia" w:eastAsia="宋体"/>
          <w:lang w:eastAsia="zh-CN"/>
        </w:rPr>
        <w:sectPr>
          <w:pgSz w:w="11906" w:h="16838"/>
          <w:pgMar w:top="1440" w:right="1800" w:bottom="1440" w:left="1800" w:header="851" w:footer="992" w:gutter="0"/>
          <w:cols w:space="720" w:num="1"/>
          <w:docGrid w:type="lines" w:linePitch="312" w:charSpace="0"/>
        </w:sectPr>
      </w:pPr>
    </w:p>
    <w:p>
      <w:pPr>
        <w:pStyle w:val="10"/>
        <w:rPr>
          <w:rFonts w:hint="eastAsia" w:eastAsia="宋体"/>
          <w:lang w:val="en-US" w:eastAsia="zh-CN"/>
        </w:rPr>
      </w:pPr>
    </w:p>
    <w:p>
      <w:pPr>
        <w:spacing w:line="440" w:lineRule="exact"/>
        <w:jc w:val="left"/>
        <w:rPr>
          <w:rFonts w:hint="eastAsia" w:ascii="仿宋_GB2312" w:eastAsia="仿宋_GB2312"/>
          <w:b/>
          <w:bCs/>
          <w:sz w:val="24"/>
          <w:lang w:val="en-US" w:eastAsia="zh-CN"/>
        </w:rPr>
      </w:pPr>
      <w:r>
        <w:rPr>
          <w:rFonts w:hint="eastAsia" w:ascii="仿宋_GB2312" w:eastAsia="仿宋_GB2312"/>
          <w:b/>
          <w:bCs/>
          <w:sz w:val="24"/>
          <w:lang w:val="en-US" w:eastAsia="zh-CN"/>
        </w:rPr>
        <w:t>五、服务期限</w:t>
      </w:r>
    </w:p>
    <w:p>
      <w:pPr>
        <w:spacing w:line="440" w:lineRule="exact"/>
        <w:ind w:firstLine="480" w:firstLineChars="200"/>
        <w:jc w:val="left"/>
        <w:rPr>
          <w:rFonts w:hint="eastAsia" w:ascii="仿宋_GB2312" w:eastAsia="仿宋_GB2312"/>
          <w:sz w:val="24"/>
          <w:lang w:val="en-US" w:eastAsia="zh-CN"/>
        </w:rPr>
      </w:pPr>
      <w:r>
        <w:rPr>
          <w:rFonts w:hint="eastAsia" w:ascii="仿宋_GB2312" w:eastAsia="仿宋_GB2312"/>
          <w:sz w:val="24"/>
          <w:lang w:val="en-US" w:eastAsia="zh-CN"/>
        </w:rPr>
        <w:t>服务期限为三年，合同一年一签。</w:t>
      </w:r>
    </w:p>
    <w:p>
      <w:pPr>
        <w:spacing w:line="440" w:lineRule="exact"/>
        <w:jc w:val="left"/>
        <w:rPr>
          <w:rFonts w:hint="eastAsia" w:ascii="仿宋_GB2312" w:eastAsia="仿宋_GB2312"/>
          <w:b/>
          <w:bCs/>
          <w:sz w:val="24"/>
          <w:highlight w:val="none"/>
          <w:lang w:val="en-US" w:eastAsia="zh-CN"/>
        </w:rPr>
      </w:pPr>
      <w:r>
        <w:rPr>
          <w:rFonts w:hint="eastAsia" w:ascii="仿宋_GB2312" w:eastAsia="仿宋_GB2312"/>
          <w:b/>
          <w:bCs/>
          <w:sz w:val="24"/>
          <w:highlight w:val="none"/>
          <w:lang w:val="en-US" w:eastAsia="zh-CN"/>
        </w:rPr>
        <w:t>六、付款方式</w:t>
      </w:r>
    </w:p>
    <w:p>
      <w:pPr>
        <w:autoSpaceDE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根据实际制作量*中标单价</w:t>
      </w:r>
      <w:r>
        <w:rPr>
          <w:rFonts w:hint="eastAsia" w:ascii="仿宋" w:hAnsi="仿宋" w:eastAsia="仿宋"/>
          <w:sz w:val="24"/>
          <w:lang w:eastAsia="zh-CN"/>
        </w:rPr>
        <w:t>据实</w:t>
      </w:r>
      <w:r>
        <w:rPr>
          <w:rFonts w:hint="eastAsia" w:ascii="仿宋" w:hAnsi="仿宋" w:eastAsia="仿宋"/>
          <w:sz w:val="24"/>
        </w:rPr>
        <w:t>每</w:t>
      </w:r>
      <w:r>
        <w:rPr>
          <w:rFonts w:hint="eastAsia" w:ascii="仿宋" w:hAnsi="仿宋" w:eastAsia="仿宋"/>
          <w:sz w:val="24"/>
          <w:lang w:eastAsia="zh-CN"/>
        </w:rPr>
        <w:t>月</w:t>
      </w:r>
      <w:r>
        <w:rPr>
          <w:rFonts w:hint="eastAsia" w:ascii="仿宋" w:hAnsi="仿宋" w:eastAsia="仿宋"/>
          <w:sz w:val="24"/>
        </w:rPr>
        <w:t>结算一次，</w:t>
      </w:r>
      <w:r>
        <w:rPr>
          <w:rFonts w:hint="eastAsia" w:ascii="仿宋" w:hAnsi="仿宋" w:eastAsia="仿宋"/>
          <w:sz w:val="24"/>
          <w:lang w:eastAsia="zh-CN"/>
        </w:rPr>
        <w:t>采购方</w:t>
      </w:r>
      <w:r>
        <w:rPr>
          <w:rFonts w:hint="eastAsia" w:ascii="仿宋" w:hAnsi="仿宋" w:eastAsia="仿宋"/>
          <w:sz w:val="24"/>
        </w:rPr>
        <w:t>在验收合格后并收到中标人合法有效发票后</w:t>
      </w:r>
      <w:r>
        <w:rPr>
          <w:rFonts w:hint="eastAsia" w:ascii="仿宋" w:hAnsi="仿宋" w:eastAsia="仿宋"/>
          <w:sz w:val="24"/>
          <w:lang w:val="en-US" w:eastAsia="zh-CN"/>
        </w:rPr>
        <w:t>60</w:t>
      </w:r>
      <w:r>
        <w:rPr>
          <w:rFonts w:hint="eastAsia" w:ascii="仿宋" w:hAnsi="仿宋" w:eastAsia="仿宋"/>
          <w:sz w:val="24"/>
        </w:rPr>
        <w:t>日</w:t>
      </w:r>
      <w:r>
        <w:rPr>
          <w:rFonts w:hint="eastAsia" w:ascii="仿宋" w:hAnsi="仿宋" w:eastAsia="仿宋"/>
          <w:sz w:val="24"/>
          <w:lang w:eastAsia="zh-CN"/>
        </w:rPr>
        <w:t>个工作日内</w:t>
      </w:r>
      <w:r>
        <w:rPr>
          <w:rFonts w:hint="eastAsia" w:ascii="仿宋" w:hAnsi="仿宋" w:eastAsia="仿宋"/>
          <w:sz w:val="24"/>
        </w:rPr>
        <w:t>支付。（因中标人不能按时提供有效发票导致付款延时的，由中标人自行负责。）</w:t>
      </w:r>
    </w:p>
    <w:p>
      <w:pPr>
        <w:spacing w:line="440" w:lineRule="exact"/>
        <w:ind w:firstLine="480" w:firstLineChars="200"/>
        <w:jc w:val="left"/>
        <w:rPr>
          <w:rFonts w:hint="eastAsia" w:ascii="仿宋_GB2312" w:eastAsia="仿宋_GB2312"/>
          <w:sz w:val="24"/>
          <w:highlight w:val="yellow"/>
          <w:lang w:val="en-US" w:eastAsia="zh-CN"/>
        </w:rPr>
      </w:pPr>
    </w:p>
    <w:p>
      <w:pPr>
        <w:pStyle w:val="6"/>
        <w:rPr>
          <w:rFonts w:hint="default"/>
          <w:color w:val="auto"/>
          <w:highlight w:val="none"/>
          <w:lang w:val="en-US" w:eastAsia="zh-CN"/>
        </w:rPr>
      </w:pPr>
      <w:r>
        <w:rPr>
          <w:rFonts w:hint="eastAsia" w:ascii="仿宋_GB2312" w:eastAsia="仿宋_GB2312"/>
          <w:b/>
          <w:bCs/>
          <w:color w:val="auto"/>
          <w:sz w:val="24"/>
          <w:highlight w:val="none"/>
          <w:lang w:val="en-US" w:eastAsia="zh-CN"/>
        </w:rPr>
        <w:t>七、（资格条件）</w:t>
      </w:r>
    </w:p>
    <w:p>
      <w:pPr>
        <w:pStyle w:val="9"/>
        <w:spacing w:line="500" w:lineRule="exact"/>
        <w:ind w:firstLine="480" w:firstLineChars="200"/>
        <w:rPr>
          <w:rFonts w:hint="default"/>
          <w:lang w:val="en-US"/>
        </w:rPr>
      </w:pPr>
      <w:r>
        <w:rPr>
          <w:rFonts w:hint="eastAsia" w:ascii="仿宋_GB2312" w:eastAsia="仿宋_GB2312" w:cs="Arial"/>
          <w:kern w:val="2"/>
          <w:sz w:val="24"/>
          <w:szCs w:val="22"/>
          <w:highlight w:val="none"/>
          <w:lang w:val="en-US" w:eastAsia="zh-CN"/>
        </w:rPr>
        <w:t>详见正文。</w:t>
      </w:r>
    </w:p>
    <w:p>
      <w:pPr>
        <w:pStyle w:val="9"/>
        <w:spacing w:line="500" w:lineRule="exact"/>
        <w:jc w:val="both"/>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4"/>
          <w:szCs w:val="24"/>
          <w:lang w:val="en-US" w:eastAsia="zh-CN"/>
        </w:rPr>
        <w:t>八、评分办法</w:t>
      </w:r>
    </w:p>
    <w:p>
      <w:pPr>
        <w:pStyle w:val="9"/>
        <w:spacing w:line="5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采购方将根据报价、业绩和服务实施方案等，采用综合评分法进行评审，推荐得分最高的为成交供应商。</w:t>
      </w: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p>
    <w:p>
      <w:pPr>
        <w:pStyle w:val="9"/>
        <w:spacing w:line="500" w:lineRule="exact"/>
        <w:ind w:left="0"/>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综合评分明细表</w:t>
      </w:r>
    </w:p>
    <w:tbl>
      <w:tblPr>
        <w:tblStyle w:val="11"/>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52"/>
        <w:gridCol w:w="837"/>
        <w:gridCol w:w="4163"/>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52" w:type="dxa"/>
            <w:tcBorders>
              <w:top w:val="single" w:color="auto" w:sz="4" w:space="0"/>
              <w:left w:val="nil"/>
              <w:bottom w:val="single" w:color="auto" w:sz="4" w:space="0"/>
              <w:right w:val="single" w:color="auto" w:sz="4" w:space="0"/>
            </w:tcBorders>
            <w:vAlign w:val="center"/>
          </w:tcPr>
          <w:p>
            <w:pPr>
              <w:spacing w:line="400" w:lineRule="exact"/>
              <w:ind w:firstLine="28"/>
              <w:jc w:val="both"/>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评分因素及权重</w:t>
            </w:r>
          </w:p>
        </w:tc>
        <w:tc>
          <w:tcPr>
            <w:tcW w:w="837" w:type="dxa"/>
            <w:tcBorders>
              <w:top w:val="single" w:color="auto" w:sz="4" w:space="0"/>
              <w:left w:val="nil"/>
              <w:bottom w:val="single" w:color="auto" w:sz="4" w:space="0"/>
              <w:right w:val="single" w:color="auto" w:sz="4" w:space="0"/>
            </w:tcBorders>
            <w:vAlign w:val="center"/>
          </w:tcPr>
          <w:p>
            <w:pPr>
              <w:spacing w:line="400" w:lineRule="exact"/>
              <w:ind w:firstLine="28"/>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分 值</w:t>
            </w:r>
          </w:p>
        </w:tc>
        <w:tc>
          <w:tcPr>
            <w:tcW w:w="4163" w:type="dxa"/>
            <w:tcBorders>
              <w:top w:val="single" w:color="auto" w:sz="4" w:space="0"/>
              <w:left w:val="nil"/>
              <w:bottom w:val="single" w:color="auto" w:sz="4" w:space="0"/>
              <w:right w:val="single" w:color="auto" w:sz="4" w:space="0"/>
            </w:tcBorders>
            <w:vAlign w:val="center"/>
          </w:tcPr>
          <w:p>
            <w:pPr>
              <w:spacing w:line="400" w:lineRule="exact"/>
              <w:ind w:firstLine="28"/>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评分标准</w:t>
            </w:r>
          </w:p>
        </w:tc>
        <w:tc>
          <w:tcPr>
            <w:tcW w:w="16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w:t>
            </w:r>
          </w:p>
        </w:tc>
        <w:tc>
          <w:tcPr>
            <w:tcW w:w="1252"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报价30%</w:t>
            </w:r>
          </w:p>
          <w:p>
            <w:pPr>
              <w:rPr>
                <w:rFonts w:hint="eastAsia" w:ascii="方正仿宋_GB2312" w:hAnsi="方正仿宋_GB2312" w:eastAsia="方正仿宋_GB2312" w:cs="方正仿宋_GB2312"/>
                <w:color w:val="000000"/>
                <w:sz w:val="21"/>
                <w:szCs w:val="21"/>
              </w:rPr>
            </w:pPr>
          </w:p>
        </w:tc>
        <w:tc>
          <w:tcPr>
            <w:tcW w:w="83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30</w:t>
            </w:r>
            <w:r>
              <w:rPr>
                <w:rFonts w:hint="eastAsia" w:ascii="方正仿宋_GB2312" w:hAnsi="方正仿宋_GB2312" w:eastAsia="方正仿宋_GB2312" w:cs="方正仿宋_GB2312"/>
                <w:color w:val="000000"/>
                <w:sz w:val="21"/>
                <w:szCs w:val="21"/>
                <w:lang w:val="en-US" w:eastAsia="zh-CN"/>
              </w:rPr>
              <w:t>分</w:t>
            </w:r>
          </w:p>
        </w:tc>
        <w:tc>
          <w:tcPr>
            <w:tcW w:w="4163"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以本次有效的投标单价汇总金额最低的为基准价，投标报价得分 = (基准价／投标单价汇总金额)*30 分*100%。</w:t>
            </w:r>
          </w:p>
        </w:tc>
        <w:tc>
          <w:tcPr>
            <w:tcW w:w="168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w:t>
            </w:r>
          </w:p>
        </w:tc>
        <w:tc>
          <w:tcPr>
            <w:tcW w:w="1252"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项目、</w:t>
            </w:r>
            <w:r>
              <w:rPr>
                <w:rFonts w:hint="eastAsia" w:ascii="方正仿宋_GB2312" w:hAnsi="方正仿宋_GB2312" w:eastAsia="方正仿宋_GB2312" w:cs="方正仿宋_GB2312"/>
                <w:color w:val="000000"/>
                <w:sz w:val="21"/>
                <w:szCs w:val="21"/>
                <w:lang w:val="en-US" w:eastAsia="zh-CN"/>
              </w:rPr>
              <w:t>技术</w:t>
            </w:r>
            <w:r>
              <w:rPr>
                <w:rFonts w:hint="eastAsia" w:ascii="方正仿宋_GB2312" w:hAnsi="方正仿宋_GB2312" w:eastAsia="方正仿宋_GB2312" w:cs="方正仿宋_GB2312"/>
                <w:color w:val="000000"/>
                <w:sz w:val="21"/>
                <w:szCs w:val="21"/>
              </w:rPr>
              <w:t>要求</w:t>
            </w:r>
            <w:r>
              <w:rPr>
                <w:rFonts w:hint="eastAsia" w:ascii="方正仿宋_GB2312" w:hAnsi="方正仿宋_GB2312" w:eastAsia="方正仿宋_GB2312" w:cs="方正仿宋_GB2312"/>
                <w:color w:val="000000"/>
                <w:sz w:val="21"/>
                <w:szCs w:val="21"/>
                <w:lang w:val="en-US" w:eastAsia="zh-CN"/>
              </w:rPr>
              <w:t>23</w:t>
            </w:r>
            <w:r>
              <w:rPr>
                <w:rFonts w:hint="eastAsia" w:ascii="方正仿宋_GB2312" w:hAnsi="方正仿宋_GB2312" w:eastAsia="方正仿宋_GB2312" w:cs="方正仿宋_GB2312"/>
                <w:color w:val="000000"/>
                <w:sz w:val="21"/>
                <w:szCs w:val="21"/>
              </w:rPr>
              <w:t>%</w:t>
            </w:r>
          </w:p>
        </w:tc>
        <w:tc>
          <w:tcPr>
            <w:tcW w:w="83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23分</w:t>
            </w:r>
          </w:p>
        </w:tc>
        <w:tc>
          <w:tcPr>
            <w:tcW w:w="4163"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技术、服务要求完全满足比选文件技术要求及参数的没有（负偏离）得</w:t>
            </w:r>
            <w:r>
              <w:rPr>
                <w:rFonts w:hint="eastAsia" w:ascii="方正仿宋_GB2312" w:hAnsi="方正仿宋_GB2312" w:eastAsia="方正仿宋_GB2312" w:cs="方正仿宋_GB2312"/>
                <w:color w:val="000000"/>
                <w:sz w:val="21"/>
                <w:szCs w:val="21"/>
                <w:lang w:val="en-US" w:eastAsia="zh-CN"/>
              </w:rPr>
              <w:t>23</w:t>
            </w:r>
            <w:r>
              <w:rPr>
                <w:rFonts w:hint="eastAsia" w:ascii="方正仿宋_GB2312" w:hAnsi="方正仿宋_GB2312" w:eastAsia="方正仿宋_GB2312" w:cs="方正仿宋_GB2312"/>
                <w:color w:val="000000"/>
                <w:sz w:val="21"/>
                <w:szCs w:val="21"/>
              </w:rPr>
              <w:t>分，负偏离一项扣</w:t>
            </w:r>
            <w:r>
              <w:rPr>
                <w:rFonts w:hint="eastAsia" w:ascii="方正仿宋_GB2312" w:hAnsi="方正仿宋_GB2312" w:eastAsia="方正仿宋_GB2312" w:cs="方正仿宋_GB2312"/>
                <w:color w:val="000000"/>
                <w:sz w:val="21"/>
                <w:szCs w:val="21"/>
                <w:lang w:val="en-US" w:eastAsia="zh-CN"/>
              </w:rPr>
              <w:t>0.5</w:t>
            </w:r>
            <w:r>
              <w:rPr>
                <w:rFonts w:hint="eastAsia" w:ascii="方正仿宋_GB2312" w:hAnsi="方正仿宋_GB2312" w:eastAsia="方正仿宋_GB2312" w:cs="方正仿宋_GB2312"/>
                <w:color w:val="000000"/>
                <w:sz w:val="21"/>
                <w:szCs w:val="21"/>
              </w:rPr>
              <w:t>分，扣完为止。</w:t>
            </w:r>
          </w:p>
        </w:tc>
        <w:tc>
          <w:tcPr>
            <w:tcW w:w="168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提供具有检测资质的检测机构出具的合格检测报告加盖投标人公章予以佐证（原件备查）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3</w:t>
            </w:r>
          </w:p>
        </w:tc>
        <w:tc>
          <w:tcPr>
            <w:tcW w:w="1252"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业绩6%</w:t>
            </w:r>
          </w:p>
        </w:tc>
        <w:tc>
          <w:tcPr>
            <w:tcW w:w="83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6分</w:t>
            </w:r>
          </w:p>
        </w:tc>
        <w:tc>
          <w:tcPr>
            <w:tcW w:w="4163"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评审委员会根据供应商所响应产品销售业绩（201</w:t>
            </w:r>
            <w:r>
              <w:rPr>
                <w:rFonts w:hint="eastAsia" w:ascii="方正仿宋_GB2312" w:hAnsi="方正仿宋_GB2312" w:eastAsia="方正仿宋_GB2312" w:cs="方正仿宋_GB2312"/>
                <w:color w:val="000000"/>
                <w:sz w:val="21"/>
                <w:szCs w:val="21"/>
                <w:lang w:val="en-US" w:eastAsia="zh-CN"/>
              </w:rPr>
              <w:t>9</w:t>
            </w:r>
            <w:r>
              <w:rPr>
                <w:rFonts w:hint="eastAsia" w:ascii="方正仿宋_GB2312" w:hAnsi="方正仿宋_GB2312" w:eastAsia="方正仿宋_GB2312" w:cs="方正仿宋_GB2312"/>
                <w:color w:val="000000"/>
                <w:sz w:val="21"/>
                <w:szCs w:val="21"/>
              </w:rPr>
              <w:t>年</w:t>
            </w:r>
            <w:r>
              <w:rPr>
                <w:rFonts w:hint="eastAsia" w:ascii="方正仿宋_GB2312" w:hAnsi="方正仿宋_GB2312" w:eastAsia="方正仿宋_GB2312" w:cs="方正仿宋_GB2312"/>
                <w:color w:val="000000"/>
                <w:sz w:val="21"/>
                <w:szCs w:val="21"/>
                <w:lang w:val="en-US" w:eastAsia="zh-CN"/>
              </w:rPr>
              <w:t>--</w:t>
            </w:r>
            <w:r>
              <w:rPr>
                <w:rFonts w:hint="eastAsia" w:ascii="方正仿宋_GB2312" w:hAnsi="方正仿宋_GB2312" w:eastAsia="方正仿宋_GB2312" w:cs="方正仿宋_GB2312"/>
                <w:color w:val="000000"/>
                <w:sz w:val="21"/>
                <w:szCs w:val="21"/>
              </w:rPr>
              <w:t xml:space="preserve">至响应截止日）进行评审，每提供一个业绩得2分，最多得6分。 </w:t>
            </w:r>
          </w:p>
        </w:tc>
        <w:tc>
          <w:tcPr>
            <w:tcW w:w="168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提供销售合同或中标/成交通知书复印件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4</w:t>
            </w:r>
          </w:p>
        </w:tc>
        <w:tc>
          <w:tcPr>
            <w:tcW w:w="1252"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样品18%</w:t>
            </w:r>
          </w:p>
        </w:tc>
        <w:tc>
          <w:tcPr>
            <w:tcW w:w="83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18</w:t>
            </w:r>
            <w:r>
              <w:rPr>
                <w:rFonts w:hint="eastAsia" w:ascii="方正仿宋_GB2312" w:hAnsi="方正仿宋_GB2312" w:eastAsia="方正仿宋_GB2312" w:cs="方正仿宋_GB2312"/>
                <w:color w:val="000000"/>
                <w:sz w:val="21"/>
                <w:szCs w:val="21"/>
              </w:rPr>
              <w:t>分</w:t>
            </w:r>
          </w:p>
        </w:tc>
        <w:tc>
          <w:tcPr>
            <w:tcW w:w="4163"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提供的样品根据以下标准进行评审：</w:t>
            </w:r>
          </w:p>
          <w:p>
            <w:pPr>
              <w:numPr>
                <w:ilvl w:val="0"/>
                <w:numId w:val="1"/>
              </w:num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样品缝合走线平整</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合理的得</w:t>
            </w:r>
            <w:r>
              <w:rPr>
                <w:rFonts w:hint="eastAsia" w:ascii="方正仿宋_GB2312" w:hAnsi="方正仿宋_GB2312" w:eastAsia="方正仿宋_GB2312" w:cs="方正仿宋_GB2312"/>
                <w:color w:val="000000"/>
                <w:sz w:val="21"/>
                <w:szCs w:val="21"/>
                <w:lang w:val="en-US" w:eastAsia="zh-CN"/>
              </w:rPr>
              <w:t>1-3</w:t>
            </w:r>
            <w:r>
              <w:rPr>
                <w:rFonts w:hint="eastAsia" w:ascii="方正仿宋_GB2312" w:hAnsi="方正仿宋_GB2312" w:eastAsia="方正仿宋_GB2312" w:cs="方正仿宋_GB2312"/>
                <w:color w:val="000000"/>
                <w:sz w:val="21"/>
                <w:szCs w:val="21"/>
              </w:rPr>
              <w:t>分，未提供</w:t>
            </w:r>
            <w:r>
              <w:rPr>
                <w:rFonts w:hint="eastAsia" w:ascii="方正仿宋_GB2312" w:hAnsi="方正仿宋_GB2312" w:eastAsia="方正仿宋_GB2312" w:cs="方正仿宋_GB2312"/>
                <w:color w:val="000000"/>
                <w:sz w:val="21"/>
                <w:szCs w:val="21"/>
                <w:lang w:val="en-US" w:eastAsia="zh-CN"/>
              </w:rPr>
              <w:t>样品</w:t>
            </w:r>
            <w:r>
              <w:rPr>
                <w:rFonts w:hint="eastAsia" w:ascii="方正仿宋_GB2312" w:hAnsi="方正仿宋_GB2312" w:eastAsia="方正仿宋_GB2312" w:cs="方正仿宋_GB2312"/>
                <w:color w:val="000000"/>
                <w:sz w:val="21"/>
                <w:szCs w:val="21"/>
              </w:rPr>
              <w:t>不得分</w:t>
            </w:r>
            <w:r>
              <w:rPr>
                <w:rFonts w:hint="eastAsia" w:ascii="方正仿宋_GB2312" w:hAnsi="方正仿宋_GB2312" w:eastAsia="方正仿宋_GB2312" w:cs="方正仿宋_GB2312"/>
                <w:color w:val="000000"/>
                <w:sz w:val="21"/>
                <w:szCs w:val="21"/>
                <w:lang w:eastAsia="zh-CN"/>
              </w:rPr>
              <w:t>）</w:t>
            </w:r>
          </w:p>
          <w:p>
            <w:pPr>
              <w:numPr>
                <w:ilvl w:val="0"/>
                <w:numId w:val="1"/>
              </w:num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整体外观制作美观</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lang w:val="en-US" w:eastAsia="zh-CN"/>
              </w:rPr>
              <w:t>美观</w:t>
            </w:r>
            <w:r>
              <w:rPr>
                <w:rFonts w:hint="eastAsia" w:ascii="方正仿宋_GB2312" w:hAnsi="方正仿宋_GB2312" w:eastAsia="方正仿宋_GB2312" w:cs="方正仿宋_GB2312"/>
                <w:color w:val="000000"/>
                <w:sz w:val="21"/>
                <w:szCs w:val="21"/>
              </w:rPr>
              <w:t>的得</w:t>
            </w:r>
            <w:r>
              <w:rPr>
                <w:rFonts w:hint="eastAsia" w:ascii="方正仿宋_GB2312" w:hAnsi="方正仿宋_GB2312" w:eastAsia="方正仿宋_GB2312" w:cs="方正仿宋_GB2312"/>
                <w:color w:val="000000"/>
                <w:sz w:val="21"/>
                <w:szCs w:val="21"/>
                <w:lang w:val="en-US" w:eastAsia="zh-CN"/>
              </w:rPr>
              <w:t>1-3</w:t>
            </w:r>
            <w:r>
              <w:rPr>
                <w:rFonts w:hint="eastAsia" w:ascii="方正仿宋_GB2312" w:hAnsi="方正仿宋_GB2312" w:eastAsia="方正仿宋_GB2312" w:cs="方正仿宋_GB2312"/>
                <w:color w:val="000000"/>
                <w:sz w:val="21"/>
                <w:szCs w:val="21"/>
              </w:rPr>
              <w:t>分，未提供</w:t>
            </w:r>
            <w:r>
              <w:rPr>
                <w:rFonts w:hint="eastAsia" w:ascii="方正仿宋_GB2312" w:hAnsi="方正仿宋_GB2312" w:eastAsia="方正仿宋_GB2312" w:cs="方正仿宋_GB2312"/>
                <w:color w:val="000000"/>
                <w:sz w:val="21"/>
                <w:szCs w:val="21"/>
                <w:lang w:val="en-US" w:eastAsia="zh-CN"/>
              </w:rPr>
              <w:t>样品</w:t>
            </w:r>
            <w:r>
              <w:rPr>
                <w:rFonts w:hint="eastAsia" w:ascii="方正仿宋_GB2312" w:hAnsi="方正仿宋_GB2312" w:eastAsia="方正仿宋_GB2312" w:cs="方正仿宋_GB2312"/>
                <w:color w:val="000000"/>
                <w:sz w:val="21"/>
                <w:szCs w:val="21"/>
              </w:rPr>
              <w:t>不得分</w:t>
            </w:r>
            <w:r>
              <w:rPr>
                <w:rFonts w:hint="eastAsia" w:ascii="方正仿宋_GB2312" w:hAnsi="方正仿宋_GB2312" w:eastAsia="方正仿宋_GB2312" w:cs="方正仿宋_GB2312"/>
                <w:color w:val="000000"/>
                <w:sz w:val="21"/>
                <w:szCs w:val="21"/>
                <w:lang w:eastAsia="zh-CN"/>
              </w:rPr>
              <w:t>）</w:t>
            </w:r>
          </w:p>
          <w:p>
            <w:pPr>
              <w:numPr>
                <w:ilvl w:val="0"/>
                <w:numId w:val="1"/>
              </w:num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工艺制作精良</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lang w:val="en-US" w:eastAsia="zh-CN"/>
              </w:rPr>
              <w:t>精良</w:t>
            </w:r>
            <w:r>
              <w:rPr>
                <w:rFonts w:hint="eastAsia" w:ascii="方正仿宋_GB2312" w:hAnsi="方正仿宋_GB2312" w:eastAsia="方正仿宋_GB2312" w:cs="方正仿宋_GB2312"/>
                <w:color w:val="000000"/>
                <w:sz w:val="21"/>
                <w:szCs w:val="21"/>
              </w:rPr>
              <w:t>的得</w:t>
            </w:r>
            <w:r>
              <w:rPr>
                <w:rFonts w:hint="eastAsia" w:ascii="方正仿宋_GB2312" w:hAnsi="方正仿宋_GB2312" w:eastAsia="方正仿宋_GB2312" w:cs="方正仿宋_GB2312"/>
                <w:color w:val="000000"/>
                <w:sz w:val="21"/>
                <w:szCs w:val="21"/>
                <w:lang w:val="en-US" w:eastAsia="zh-CN"/>
              </w:rPr>
              <w:t>1-3</w:t>
            </w:r>
            <w:r>
              <w:rPr>
                <w:rFonts w:hint="eastAsia" w:ascii="方正仿宋_GB2312" w:hAnsi="方正仿宋_GB2312" w:eastAsia="方正仿宋_GB2312" w:cs="方正仿宋_GB2312"/>
                <w:color w:val="000000"/>
                <w:sz w:val="21"/>
                <w:szCs w:val="21"/>
              </w:rPr>
              <w:t>分，未提供</w:t>
            </w:r>
            <w:r>
              <w:rPr>
                <w:rFonts w:hint="eastAsia" w:ascii="方正仿宋_GB2312" w:hAnsi="方正仿宋_GB2312" w:eastAsia="方正仿宋_GB2312" w:cs="方正仿宋_GB2312"/>
                <w:color w:val="000000"/>
                <w:sz w:val="21"/>
                <w:szCs w:val="21"/>
                <w:lang w:val="en-US" w:eastAsia="zh-CN"/>
              </w:rPr>
              <w:t>样品</w:t>
            </w:r>
            <w:r>
              <w:rPr>
                <w:rFonts w:hint="eastAsia" w:ascii="方正仿宋_GB2312" w:hAnsi="方正仿宋_GB2312" w:eastAsia="方正仿宋_GB2312" w:cs="方正仿宋_GB2312"/>
                <w:color w:val="000000"/>
                <w:sz w:val="21"/>
                <w:szCs w:val="21"/>
              </w:rPr>
              <w:t>不得分</w:t>
            </w:r>
            <w:r>
              <w:rPr>
                <w:rFonts w:hint="eastAsia" w:ascii="方正仿宋_GB2312" w:hAnsi="方正仿宋_GB2312" w:eastAsia="方正仿宋_GB2312" w:cs="方正仿宋_GB2312"/>
                <w:color w:val="000000"/>
                <w:sz w:val="21"/>
                <w:szCs w:val="21"/>
                <w:lang w:eastAsia="zh-CN"/>
              </w:rPr>
              <w:t>）</w:t>
            </w:r>
          </w:p>
          <w:p>
            <w:pPr>
              <w:numPr>
                <w:ilvl w:val="0"/>
                <w:numId w:val="1"/>
              </w:num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手感柔软舒适</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lang w:val="en-US" w:eastAsia="zh-CN"/>
              </w:rPr>
              <w:t>舒适</w:t>
            </w:r>
            <w:r>
              <w:rPr>
                <w:rFonts w:hint="eastAsia" w:ascii="方正仿宋_GB2312" w:hAnsi="方正仿宋_GB2312" w:eastAsia="方正仿宋_GB2312" w:cs="方正仿宋_GB2312"/>
                <w:color w:val="000000"/>
                <w:sz w:val="21"/>
                <w:szCs w:val="21"/>
              </w:rPr>
              <w:t>的得</w:t>
            </w:r>
            <w:r>
              <w:rPr>
                <w:rFonts w:hint="eastAsia" w:ascii="方正仿宋_GB2312" w:hAnsi="方正仿宋_GB2312" w:eastAsia="方正仿宋_GB2312" w:cs="方正仿宋_GB2312"/>
                <w:color w:val="000000"/>
                <w:sz w:val="21"/>
                <w:szCs w:val="21"/>
                <w:lang w:val="en-US" w:eastAsia="zh-CN"/>
              </w:rPr>
              <w:t>1-3</w:t>
            </w:r>
            <w:r>
              <w:rPr>
                <w:rFonts w:hint="eastAsia" w:ascii="方正仿宋_GB2312" w:hAnsi="方正仿宋_GB2312" w:eastAsia="方正仿宋_GB2312" w:cs="方正仿宋_GB2312"/>
                <w:color w:val="000000"/>
                <w:sz w:val="21"/>
                <w:szCs w:val="21"/>
              </w:rPr>
              <w:t>分，未提供</w:t>
            </w:r>
            <w:r>
              <w:rPr>
                <w:rFonts w:hint="eastAsia" w:ascii="方正仿宋_GB2312" w:hAnsi="方正仿宋_GB2312" w:eastAsia="方正仿宋_GB2312" w:cs="方正仿宋_GB2312"/>
                <w:color w:val="000000"/>
                <w:sz w:val="21"/>
                <w:szCs w:val="21"/>
                <w:lang w:val="en-US" w:eastAsia="zh-CN"/>
              </w:rPr>
              <w:t>样品</w:t>
            </w:r>
            <w:r>
              <w:rPr>
                <w:rFonts w:hint="eastAsia" w:ascii="方正仿宋_GB2312" w:hAnsi="方正仿宋_GB2312" w:eastAsia="方正仿宋_GB2312" w:cs="方正仿宋_GB2312"/>
                <w:color w:val="000000"/>
                <w:sz w:val="21"/>
                <w:szCs w:val="21"/>
              </w:rPr>
              <w:t>不得分</w:t>
            </w:r>
            <w:r>
              <w:rPr>
                <w:rFonts w:hint="eastAsia" w:ascii="方正仿宋_GB2312" w:hAnsi="方正仿宋_GB2312" w:eastAsia="方正仿宋_GB2312" w:cs="方正仿宋_GB2312"/>
                <w:color w:val="000000"/>
                <w:sz w:val="21"/>
                <w:szCs w:val="21"/>
                <w:lang w:eastAsia="zh-CN"/>
              </w:rPr>
              <w:t>）</w:t>
            </w:r>
          </w:p>
          <w:p>
            <w:pPr>
              <w:numPr>
                <w:ilvl w:val="0"/>
                <w:numId w:val="1"/>
              </w:num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对条对称性好</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lang w:val="en-US" w:eastAsia="zh-CN"/>
              </w:rPr>
              <w:t>合理</w:t>
            </w:r>
            <w:r>
              <w:rPr>
                <w:rFonts w:hint="eastAsia" w:ascii="方正仿宋_GB2312" w:hAnsi="方正仿宋_GB2312" w:eastAsia="方正仿宋_GB2312" w:cs="方正仿宋_GB2312"/>
                <w:color w:val="000000"/>
                <w:sz w:val="21"/>
                <w:szCs w:val="21"/>
              </w:rPr>
              <w:t>的得</w:t>
            </w:r>
            <w:r>
              <w:rPr>
                <w:rFonts w:hint="eastAsia" w:ascii="方正仿宋_GB2312" w:hAnsi="方正仿宋_GB2312" w:eastAsia="方正仿宋_GB2312" w:cs="方正仿宋_GB2312"/>
                <w:color w:val="000000"/>
                <w:sz w:val="21"/>
                <w:szCs w:val="21"/>
                <w:lang w:val="en-US" w:eastAsia="zh-CN"/>
              </w:rPr>
              <w:t>1-3</w:t>
            </w:r>
            <w:r>
              <w:rPr>
                <w:rFonts w:hint="eastAsia" w:ascii="方正仿宋_GB2312" w:hAnsi="方正仿宋_GB2312" w:eastAsia="方正仿宋_GB2312" w:cs="方正仿宋_GB2312"/>
                <w:color w:val="000000"/>
                <w:sz w:val="21"/>
                <w:szCs w:val="21"/>
              </w:rPr>
              <w:t>分，未提供</w:t>
            </w:r>
            <w:r>
              <w:rPr>
                <w:rFonts w:hint="eastAsia" w:ascii="方正仿宋_GB2312" w:hAnsi="方正仿宋_GB2312" w:eastAsia="方正仿宋_GB2312" w:cs="方正仿宋_GB2312"/>
                <w:color w:val="000000"/>
                <w:sz w:val="21"/>
                <w:szCs w:val="21"/>
                <w:lang w:val="en-US" w:eastAsia="zh-CN"/>
              </w:rPr>
              <w:t>样品</w:t>
            </w:r>
            <w:r>
              <w:rPr>
                <w:rFonts w:hint="eastAsia" w:ascii="方正仿宋_GB2312" w:hAnsi="方正仿宋_GB2312" w:eastAsia="方正仿宋_GB2312" w:cs="方正仿宋_GB2312"/>
                <w:color w:val="000000"/>
                <w:sz w:val="21"/>
                <w:szCs w:val="21"/>
              </w:rPr>
              <w:t>不得分</w:t>
            </w:r>
            <w:r>
              <w:rPr>
                <w:rFonts w:hint="eastAsia" w:ascii="方正仿宋_GB2312" w:hAnsi="方正仿宋_GB2312" w:eastAsia="方正仿宋_GB2312" w:cs="方正仿宋_GB2312"/>
                <w:color w:val="000000"/>
                <w:sz w:val="21"/>
                <w:szCs w:val="21"/>
                <w:lang w:eastAsia="zh-CN"/>
              </w:rPr>
              <w:t>）</w:t>
            </w:r>
          </w:p>
          <w:p>
            <w:pPr>
              <w:numPr>
                <w:ilvl w:val="0"/>
                <w:numId w:val="1"/>
              </w:num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缝迹流畅平服无折皱</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lang w:val="en-US" w:eastAsia="zh-CN"/>
              </w:rPr>
              <w:t>合理</w:t>
            </w:r>
            <w:r>
              <w:rPr>
                <w:rFonts w:hint="eastAsia" w:ascii="方正仿宋_GB2312" w:hAnsi="方正仿宋_GB2312" w:eastAsia="方正仿宋_GB2312" w:cs="方正仿宋_GB2312"/>
                <w:color w:val="000000"/>
                <w:sz w:val="21"/>
                <w:szCs w:val="21"/>
              </w:rPr>
              <w:t>的得</w:t>
            </w:r>
            <w:r>
              <w:rPr>
                <w:rFonts w:hint="eastAsia" w:ascii="方正仿宋_GB2312" w:hAnsi="方正仿宋_GB2312" w:eastAsia="方正仿宋_GB2312" w:cs="方正仿宋_GB2312"/>
                <w:color w:val="000000"/>
                <w:sz w:val="21"/>
                <w:szCs w:val="21"/>
                <w:lang w:val="en-US" w:eastAsia="zh-CN"/>
              </w:rPr>
              <w:t>1-3</w:t>
            </w:r>
            <w:r>
              <w:rPr>
                <w:rFonts w:hint="eastAsia" w:ascii="方正仿宋_GB2312" w:hAnsi="方正仿宋_GB2312" w:eastAsia="方正仿宋_GB2312" w:cs="方正仿宋_GB2312"/>
                <w:color w:val="000000"/>
                <w:sz w:val="21"/>
                <w:szCs w:val="21"/>
              </w:rPr>
              <w:t>分，未提供</w:t>
            </w:r>
            <w:r>
              <w:rPr>
                <w:rFonts w:hint="eastAsia" w:ascii="方正仿宋_GB2312" w:hAnsi="方正仿宋_GB2312" w:eastAsia="方正仿宋_GB2312" w:cs="方正仿宋_GB2312"/>
                <w:color w:val="000000"/>
                <w:sz w:val="21"/>
                <w:szCs w:val="21"/>
                <w:lang w:val="en-US" w:eastAsia="zh-CN"/>
              </w:rPr>
              <w:t>样品</w:t>
            </w:r>
            <w:r>
              <w:rPr>
                <w:rFonts w:hint="eastAsia" w:ascii="方正仿宋_GB2312" w:hAnsi="方正仿宋_GB2312" w:eastAsia="方正仿宋_GB2312" w:cs="方正仿宋_GB2312"/>
                <w:color w:val="000000"/>
                <w:sz w:val="21"/>
                <w:szCs w:val="21"/>
              </w:rPr>
              <w:t>不得分</w:t>
            </w:r>
            <w:r>
              <w:rPr>
                <w:rFonts w:hint="eastAsia" w:ascii="方正仿宋_GB2312" w:hAnsi="方正仿宋_GB2312" w:eastAsia="方正仿宋_GB2312" w:cs="方正仿宋_GB2312"/>
                <w:color w:val="000000"/>
                <w:sz w:val="21"/>
                <w:szCs w:val="21"/>
                <w:lang w:eastAsia="zh-CN"/>
              </w:rPr>
              <w:t>）</w:t>
            </w:r>
          </w:p>
          <w:p>
            <w:pPr>
              <w:numPr>
                <w:ilvl w:val="0"/>
                <w:numId w:val="0"/>
              </w:num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完全满足要求得满分</w:t>
            </w:r>
            <w:r>
              <w:rPr>
                <w:rFonts w:hint="eastAsia" w:ascii="方正仿宋_GB2312" w:hAnsi="方正仿宋_GB2312" w:eastAsia="方正仿宋_GB2312" w:cs="方正仿宋_GB2312"/>
                <w:color w:val="000000"/>
                <w:sz w:val="21"/>
                <w:szCs w:val="21"/>
                <w:lang w:val="en-US" w:eastAsia="zh-CN"/>
              </w:rPr>
              <w:t>18</w:t>
            </w:r>
            <w:r>
              <w:rPr>
                <w:rFonts w:hint="eastAsia" w:ascii="方正仿宋_GB2312" w:hAnsi="方正仿宋_GB2312" w:eastAsia="方正仿宋_GB2312" w:cs="方正仿宋_GB2312"/>
                <w:color w:val="000000"/>
                <w:sz w:val="21"/>
                <w:szCs w:val="21"/>
              </w:rPr>
              <w:t>分，未提供样品此项不得分。</w:t>
            </w:r>
          </w:p>
        </w:tc>
        <w:tc>
          <w:tcPr>
            <w:tcW w:w="168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没有提供样品或者样品提供不全，样品不得分。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5</w:t>
            </w:r>
          </w:p>
        </w:tc>
        <w:tc>
          <w:tcPr>
            <w:tcW w:w="1252"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项目</w:t>
            </w:r>
            <w:r>
              <w:rPr>
                <w:rFonts w:hint="eastAsia" w:ascii="方正仿宋_GB2312" w:hAnsi="方正仿宋_GB2312" w:eastAsia="方正仿宋_GB2312" w:cs="方正仿宋_GB2312"/>
                <w:color w:val="000000"/>
                <w:sz w:val="21"/>
                <w:szCs w:val="21"/>
              </w:rPr>
              <w:t>方案</w:t>
            </w:r>
            <w:r>
              <w:rPr>
                <w:rFonts w:hint="eastAsia" w:ascii="方正仿宋_GB2312" w:hAnsi="方正仿宋_GB2312" w:eastAsia="方正仿宋_GB2312" w:cs="方正仿宋_GB2312"/>
                <w:color w:val="000000"/>
                <w:sz w:val="21"/>
                <w:szCs w:val="21"/>
                <w:lang w:val="en-US" w:eastAsia="zh-CN"/>
              </w:rPr>
              <w:t>12</w:t>
            </w:r>
            <w:r>
              <w:rPr>
                <w:rFonts w:hint="eastAsia" w:ascii="方正仿宋_GB2312" w:hAnsi="方正仿宋_GB2312" w:eastAsia="方正仿宋_GB2312" w:cs="方正仿宋_GB2312"/>
                <w:color w:val="000000"/>
                <w:sz w:val="21"/>
                <w:szCs w:val="21"/>
              </w:rPr>
              <w:t>%</w:t>
            </w:r>
          </w:p>
        </w:tc>
        <w:tc>
          <w:tcPr>
            <w:tcW w:w="83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12</w:t>
            </w:r>
            <w:r>
              <w:rPr>
                <w:rFonts w:hint="eastAsia" w:ascii="方正仿宋_GB2312" w:hAnsi="方正仿宋_GB2312" w:eastAsia="方正仿宋_GB2312" w:cs="方正仿宋_GB2312"/>
                <w:color w:val="000000"/>
                <w:sz w:val="21"/>
                <w:szCs w:val="21"/>
              </w:rPr>
              <w:t>分</w:t>
            </w:r>
          </w:p>
        </w:tc>
        <w:tc>
          <w:tcPr>
            <w:tcW w:w="4163" w:type="dxa"/>
            <w:tcBorders>
              <w:top w:val="single" w:color="auto" w:sz="4" w:space="0"/>
              <w:left w:val="nil"/>
              <w:bottom w:val="single" w:color="auto" w:sz="4" w:space="0"/>
              <w:right w:val="single" w:color="auto" w:sz="4" w:space="0"/>
            </w:tcBorders>
            <w:vAlign w:val="center"/>
          </w:tcPr>
          <w:p>
            <w:pPr>
              <w:numPr>
                <w:ilvl w:val="0"/>
                <w:numId w:val="0"/>
              </w:numP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根据供应商提供的服务方案：包含但不限于</w:t>
            </w:r>
            <w:r>
              <w:rPr>
                <w:rFonts w:hint="eastAsia" w:ascii="方正仿宋_GB2312" w:hAnsi="方正仿宋_GB2312" w:eastAsia="方正仿宋_GB2312" w:cs="方正仿宋_GB2312"/>
                <w:color w:val="000000"/>
                <w:sz w:val="21"/>
                <w:szCs w:val="21"/>
                <w:lang w:eastAsia="zh-CN"/>
              </w:rPr>
              <w:t>：</w:t>
            </w:r>
          </w:p>
          <w:p>
            <w:pPr>
              <w:numPr>
                <w:ilvl w:val="0"/>
                <w:numId w:val="0"/>
              </w:numPr>
              <w:spacing w:line="242" w:lineRule="auto"/>
              <w:ind w:left="107" w:right="97"/>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对供应商在响应文件中提供的项目实施方案根据本项目需求和特点，并对以下内容进行综合评审：</w:t>
            </w:r>
          </w:p>
          <w:p>
            <w:pPr>
              <w:numPr>
                <w:ilvl w:val="0"/>
                <w:numId w:val="0"/>
              </w:numPr>
              <w:tabs>
                <w:tab w:val="left" w:pos="725"/>
              </w:tabs>
              <w:spacing w:before="2" w:after="0" w:line="242" w:lineRule="auto"/>
              <w:ind w:left="107" w:right="95" w:firstLine="0"/>
              <w:jc w:val="both"/>
            </w:pPr>
            <w:r>
              <w:rPr>
                <w:rFonts w:hint="eastAsia" w:ascii="方正仿宋_GB2312" w:hAnsi="方正仿宋_GB2312" w:eastAsia="方正仿宋_GB2312" w:cs="方正仿宋_GB2312"/>
                <w:color w:val="000000"/>
                <w:spacing w:val="0"/>
                <w:sz w:val="21"/>
                <w:szCs w:val="21"/>
              </w:rPr>
              <w:t xml:space="preserve">“项目组织实施方案”内容需包含：①项目实施进度及计划②具体实施方案细则③项目验收计划④突发应急措施方案及合理化建议的， 得 </w:t>
            </w:r>
            <w:r>
              <w:rPr>
                <w:rFonts w:hint="eastAsia" w:ascii="方正仿宋_GB2312" w:hAnsi="方正仿宋_GB2312" w:eastAsia="方正仿宋_GB2312" w:cs="方正仿宋_GB2312"/>
                <w:color w:val="000000"/>
                <w:sz w:val="21"/>
                <w:szCs w:val="21"/>
                <w:lang w:val="en-US" w:eastAsia="zh-CN"/>
              </w:rPr>
              <w:t>12</w:t>
            </w:r>
            <w:r>
              <w:rPr>
                <w:rFonts w:hint="eastAsia" w:ascii="方正仿宋_GB2312" w:hAnsi="方正仿宋_GB2312" w:eastAsia="方正仿宋_GB2312" w:cs="方正仿宋_GB2312"/>
                <w:color w:val="000000"/>
                <w:spacing w:val="0"/>
                <w:sz w:val="21"/>
                <w:szCs w:val="21"/>
              </w:rPr>
              <w:t xml:space="preserve">分； 每缺一项或内容不符的扣 </w:t>
            </w:r>
            <w:r>
              <w:rPr>
                <w:rFonts w:hint="eastAsia" w:ascii="方正仿宋_GB2312" w:hAnsi="方正仿宋_GB2312" w:eastAsia="方正仿宋_GB2312" w:cs="方正仿宋_GB2312"/>
                <w:color w:val="000000"/>
                <w:spacing w:val="0"/>
                <w:sz w:val="21"/>
                <w:szCs w:val="21"/>
                <w:lang w:val="en-US" w:eastAsia="zh-CN"/>
              </w:rPr>
              <w:t>3</w:t>
            </w:r>
            <w:r>
              <w:rPr>
                <w:rFonts w:hint="eastAsia" w:ascii="方正仿宋_GB2312" w:hAnsi="方正仿宋_GB2312" w:eastAsia="方正仿宋_GB2312" w:cs="方正仿宋_GB2312"/>
                <w:color w:val="000000"/>
                <w:spacing w:val="0"/>
                <w:sz w:val="21"/>
                <w:szCs w:val="21"/>
              </w:rPr>
              <w:t xml:space="preserve"> 分，扣完为止；每一项内容不完整或与项目不相符的扣 </w:t>
            </w:r>
            <w:r>
              <w:rPr>
                <w:rFonts w:hint="eastAsia" w:ascii="方正仿宋_GB2312" w:hAnsi="方正仿宋_GB2312" w:eastAsia="方正仿宋_GB2312" w:cs="方正仿宋_GB2312"/>
                <w:color w:val="000000"/>
                <w:sz w:val="21"/>
                <w:szCs w:val="21"/>
              </w:rPr>
              <w:t>1</w:t>
            </w:r>
            <w:r>
              <w:rPr>
                <w:rFonts w:hint="eastAsia" w:ascii="方正仿宋_GB2312" w:hAnsi="方正仿宋_GB2312" w:eastAsia="方正仿宋_GB2312" w:cs="方正仿宋_GB2312"/>
                <w:color w:val="000000"/>
                <w:spacing w:val="0"/>
                <w:sz w:val="21"/>
                <w:szCs w:val="21"/>
              </w:rPr>
              <w:t xml:space="preserve"> 分。</w:t>
            </w:r>
          </w:p>
          <w:p>
            <w:pPr>
              <w:numPr>
                <w:ilvl w:val="0"/>
                <w:numId w:val="0"/>
              </w:numPr>
              <w:ind w:leftChars="0"/>
              <w:rPr>
                <w:rFonts w:hint="eastAsia" w:ascii="方正仿宋_GB2312" w:hAnsi="方正仿宋_GB2312" w:eastAsia="方正仿宋_GB2312" w:cs="方正仿宋_GB2312"/>
                <w:color w:val="000000"/>
                <w:sz w:val="21"/>
                <w:szCs w:val="21"/>
              </w:rPr>
            </w:pPr>
          </w:p>
        </w:tc>
        <w:tc>
          <w:tcPr>
            <w:tcW w:w="168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6</w:t>
            </w:r>
          </w:p>
        </w:tc>
        <w:tc>
          <w:tcPr>
            <w:tcW w:w="1252"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品牌及信誉</w:t>
            </w:r>
            <w:r>
              <w:rPr>
                <w:rFonts w:hint="eastAsia" w:ascii="方正仿宋_GB2312" w:hAnsi="方正仿宋_GB2312" w:eastAsia="方正仿宋_GB2312" w:cs="方正仿宋_GB2312"/>
                <w:color w:val="000000"/>
                <w:sz w:val="21"/>
                <w:szCs w:val="21"/>
                <w:lang w:val="en-US" w:eastAsia="zh-CN"/>
              </w:rPr>
              <w:t>11</w:t>
            </w:r>
            <w:r>
              <w:rPr>
                <w:rFonts w:hint="eastAsia" w:ascii="方正仿宋_GB2312" w:hAnsi="方正仿宋_GB2312" w:eastAsia="方正仿宋_GB2312" w:cs="方正仿宋_GB2312"/>
                <w:color w:val="000000"/>
                <w:sz w:val="21"/>
                <w:szCs w:val="21"/>
              </w:rPr>
              <w:t>%</w:t>
            </w:r>
          </w:p>
        </w:tc>
        <w:tc>
          <w:tcPr>
            <w:tcW w:w="83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11分</w:t>
            </w:r>
          </w:p>
        </w:tc>
        <w:tc>
          <w:tcPr>
            <w:tcW w:w="4163" w:type="dxa"/>
            <w:tcBorders>
              <w:top w:val="single" w:color="auto" w:sz="4" w:space="0"/>
              <w:left w:val="nil"/>
              <w:bottom w:val="single" w:color="auto" w:sz="4" w:space="0"/>
              <w:right w:val="single" w:color="auto" w:sz="4" w:space="0"/>
            </w:tcBorders>
            <w:vAlign w:val="center"/>
          </w:tcPr>
          <w:p>
            <w:pPr>
              <w:pStyle w:val="5"/>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1</w:t>
            </w:r>
            <w:r>
              <w:rPr>
                <w:rFonts w:hint="eastAsia" w:ascii="方正仿宋_GB2312" w:hAnsi="方正仿宋_GB2312" w:eastAsia="方正仿宋_GB2312" w:cs="方正仿宋_GB2312"/>
                <w:color w:val="000000"/>
                <w:sz w:val="21"/>
                <w:szCs w:val="21"/>
                <w:highlight w:val="none"/>
                <w:lang w:val="en-US" w:eastAsia="zh-CN"/>
              </w:rPr>
              <w:t>.</w:t>
            </w:r>
            <w:r>
              <w:rPr>
                <w:rFonts w:hint="eastAsia" w:ascii="方正仿宋_GB2312" w:hAnsi="方正仿宋_GB2312" w:eastAsia="方正仿宋_GB2312" w:cs="方正仿宋_GB2312"/>
                <w:color w:val="000000"/>
                <w:sz w:val="21"/>
                <w:szCs w:val="21"/>
                <w:highlight w:val="none"/>
              </w:rPr>
              <w:t>投标人或投标产品生产厂家获得质量管理体系认证证书得1分。未提供不得分</w:t>
            </w:r>
          </w:p>
          <w:p>
            <w:pPr>
              <w:pStyle w:val="5"/>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2</w:t>
            </w:r>
            <w:r>
              <w:rPr>
                <w:rFonts w:hint="eastAsia" w:ascii="方正仿宋_GB2312" w:hAnsi="方正仿宋_GB2312" w:eastAsia="方正仿宋_GB2312" w:cs="方正仿宋_GB2312"/>
                <w:color w:val="000000"/>
                <w:sz w:val="21"/>
                <w:szCs w:val="21"/>
                <w:highlight w:val="none"/>
                <w:lang w:val="en-US" w:eastAsia="zh-CN"/>
              </w:rPr>
              <w:t>.</w:t>
            </w:r>
            <w:r>
              <w:rPr>
                <w:rFonts w:hint="eastAsia" w:ascii="方正仿宋_GB2312" w:hAnsi="方正仿宋_GB2312" w:eastAsia="方正仿宋_GB2312" w:cs="方正仿宋_GB2312"/>
                <w:color w:val="000000"/>
                <w:sz w:val="21"/>
                <w:szCs w:val="21"/>
                <w:highlight w:val="none"/>
              </w:rPr>
              <w:t>投标人或投标产品生产厂家具备职业健康安全管理体系认证证书得1分。未提供不得分</w:t>
            </w:r>
          </w:p>
          <w:p>
            <w:pPr>
              <w:pStyle w:val="5"/>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3</w:t>
            </w:r>
            <w:r>
              <w:rPr>
                <w:rFonts w:hint="eastAsia" w:ascii="方正仿宋_GB2312" w:hAnsi="方正仿宋_GB2312" w:eastAsia="方正仿宋_GB2312" w:cs="方正仿宋_GB2312"/>
                <w:color w:val="000000"/>
                <w:sz w:val="21"/>
                <w:szCs w:val="21"/>
                <w:highlight w:val="none"/>
                <w:lang w:val="en-US" w:eastAsia="zh-CN"/>
              </w:rPr>
              <w:t>.</w:t>
            </w:r>
            <w:r>
              <w:rPr>
                <w:rFonts w:hint="eastAsia" w:ascii="方正仿宋_GB2312" w:hAnsi="方正仿宋_GB2312" w:eastAsia="方正仿宋_GB2312" w:cs="方正仿宋_GB2312"/>
                <w:color w:val="000000"/>
                <w:sz w:val="21"/>
                <w:szCs w:val="21"/>
                <w:highlight w:val="none"/>
              </w:rPr>
              <w:t>投标人或投标产品生产厂家具备环境管理体系认证证书得1分。（投标人须提供在“中国国家认证认可监督管理委员会网站”上的查询页面截图加盖公章），</w:t>
            </w:r>
            <w:r>
              <w:rPr>
                <w:rFonts w:hint="eastAsia" w:ascii="方正仿宋_GB2312" w:hAnsi="方正仿宋_GB2312" w:eastAsia="方正仿宋_GB2312" w:cs="方正仿宋_GB2312"/>
                <w:color w:val="000000"/>
                <w:sz w:val="21"/>
                <w:szCs w:val="21"/>
                <w:highlight w:val="none"/>
                <w:lang w:eastAsia="zh-CN"/>
              </w:rPr>
              <w:t>未</w:t>
            </w:r>
            <w:r>
              <w:rPr>
                <w:rFonts w:hint="eastAsia" w:ascii="方正仿宋_GB2312" w:hAnsi="方正仿宋_GB2312" w:eastAsia="方正仿宋_GB2312" w:cs="方正仿宋_GB2312"/>
                <w:color w:val="000000"/>
                <w:sz w:val="21"/>
                <w:szCs w:val="21"/>
                <w:highlight w:val="none"/>
              </w:rPr>
              <w:t>提供的不得分；</w:t>
            </w:r>
          </w:p>
          <w:p>
            <w:pPr>
              <w:pStyle w:val="5"/>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4</w:t>
            </w:r>
            <w:r>
              <w:rPr>
                <w:rFonts w:hint="eastAsia" w:ascii="方正仿宋_GB2312" w:hAnsi="方正仿宋_GB2312" w:eastAsia="方正仿宋_GB2312" w:cs="方正仿宋_GB2312"/>
                <w:color w:val="000000"/>
                <w:sz w:val="21"/>
                <w:szCs w:val="21"/>
                <w:highlight w:val="none"/>
                <w:lang w:val="en-US" w:eastAsia="zh-CN"/>
              </w:rPr>
              <w:t>.</w:t>
            </w:r>
            <w:r>
              <w:rPr>
                <w:rFonts w:hint="eastAsia" w:ascii="方正仿宋_GB2312" w:hAnsi="方正仿宋_GB2312" w:eastAsia="方正仿宋_GB2312" w:cs="方正仿宋_GB2312"/>
                <w:color w:val="000000"/>
                <w:sz w:val="21"/>
                <w:szCs w:val="21"/>
                <w:highlight w:val="none"/>
              </w:rPr>
              <w:t>投标人或投标产品生产厂家具有GB/T 27922-2011售后服务认证证书，并取得不低于</w:t>
            </w:r>
            <w:r>
              <w:rPr>
                <w:rFonts w:hint="eastAsia" w:ascii="方正仿宋_GB2312" w:hAnsi="方正仿宋_GB2312" w:eastAsia="方正仿宋_GB2312" w:cs="方正仿宋_GB2312"/>
                <w:color w:val="000000"/>
                <w:sz w:val="21"/>
                <w:szCs w:val="21"/>
                <w:highlight w:val="none"/>
                <w:lang w:val="en-US" w:eastAsia="zh-CN"/>
              </w:rPr>
              <w:t>两</w:t>
            </w:r>
            <w:r>
              <w:rPr>
                <w:rFonts w:hint="eastAsia" w:ascii="方正仿宋_GB2312" w:hAnsi="方正仿宋_GB2312" w:eastAsia="方正仿宋_GB2312" w:cs="方正仿宋_GB2312"/>
                <w:color w:val="000000"/>
                <w:sz w:val="21"/>
                <w:szCs w:val="21"/>
                <w:highlight w:val="none"/>
              </w:rPr>
              <w:t>个符合高级售后服务管理师（SAMP）要求培训证书的得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分。未提供不得分</w:t>
            </w:r>
          </w:p>
          <w:p>
            <w:pPr>
              <w:pStyle w:val="5"/>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5</w:t>
            </w:r>
            <w:r>
              <w:rPr>
                <w:rFonts w:hint="eastAsia" w:ascii="方正仿宋_GB2312" w:hAnsi="方正仿宋_GB2312" w:eastAsia="方正仿宋_GB2312" w:cs="方正仿宋_GB2312"/>
                <w:color w:val="000000"/>
                <w:sz w:val="21"/>
                <w:szCs w:val="21"/>
                <w:highlight w:val="none"/>
                <w:lang w:val="en-US" w:eastAsia="zh-CN"/>
              </w:rPr>
              <w:t>.</w:t>
            </w:r>
            <w:r>
              <w:rPr>
                <w:rFonts w:hint="eastAsia" w:ascii="方正仿宋_GB2312" w:hAnsi="方正仿宋_GB2312" w:eastAsia="方正仿宋_GB2312" w:cs="方正仿宋_GB2312"/>
                <w:color w:val="000000"/>
                <w:sz w:val="21"/>
                <w:szCs w:val="21"/>
                <w:highlight w:val="none"/>
              </w:rPr>
              <w:t>投标人或投标产品生产厂家具备企业资信等级3A级，有得1分，没有不得分。未提供不得分</w:t>
            </w:r>
          </w:p>
          <w:p>
            <w:pPr>
              <w:pStyle w:val="5"/>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6</w:t>
            </w:r>
            <w:r>
              <w:rPr>
                <w:rFonts w:hint="eastAsia" w:ascii="方正仿宋_GB2312" w:hAnsi="方正仿宋_GB2312" w:eastAsia="方正仿宋_GB2312" w:cs="方正仿宋_GB2312"/>
                <w:color w:val="000000"/>
                <w:sz w:val="21"/>
                <w:szCs w:val="21"/>
                <w:highlight w:val="none"/>
                <w:lang w:val="en-US" w:eastAsia="zh-CN"/>
              </w:rPr>
              <w:t>.</w:t>
            </w:r>
            <w:r>
              <w:rPr>
                <w:rFonts w:hint="eastAsia" w:ascii="方正仿宋_GB2312" w:hAnsi="方正仿宋_GB2312" w:eastAsia="方正仿宋_GB2312" w:cs="方正仿宋_GB2312"/>
                <w:color w:val="000000"/>
                <w:sz w:val="21"/>
                <w:szCs w:val="21"/>
                <w:highlight w:val="none"/>
              </w:rPr>
              <w:t>投标人或投标产品生产厂家具备履行合同所需生产场地的证明材料，提供生产场地购买合同（或租赁合同）及生产场地所属投标人房产产权证得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分。未提供的不得分；</w:t>
            </w:r>
          </w:p>
          <w:p>
            <w:pPr>
              <w:pStyle w:val="5"/>
              <w:widowControl/>
              <w:shd w:val="clear" w:color="auto" w:fill="FFFFFF"/>
              <w:jc w:val="lef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highlight w:val="none"/>
                <w:lang w:val="en-US" w:eastAsia="zh-CN"/>
              </w:rPr>
              <w:t>7.</w:t>
            </w:r>
            <w:r>
              <w:rPr>
                <w:rFonts w:hint="eastAsia" w:ascii="方正仿宋_GB2312" w:hAnsi="方正仿宋_GB2312" w:eastAsia="方正仿宋_GB2312" w:cs="方正仿宋_GB2312"/>
                <w:color w:val="000000"/>
                <w:sz w:val="21"/>
                <w:szCs w:val="21"/>
                <w:highlight w:val="none"/>
              </w:rPr>
              <w:t>投标人在新冠肺炎疫情期间被应急管理部门指定为保障应急医疗物资生产单位的得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color w:val="000000"/>
                <w:sz w:val="21"/>
                <w:szCs w:val="21"/>
                <w:highlight w:val="none"/>
                <w:lang w:eastAsia="zh-CN"/>
              </w:rPr>
              <w:t>（投标人需提供应急管理局</w:t>
            </w:r>
            <w:r>
              <w:rPr>
                <w:rFonts w:hint="eastAsia" w:ascii="方正仿宋_GB2312" w:hAnsi="方正仿宋_GB2312" w:eastAsia="方正仿宋_GB2312" w:cs="方正仿宋_GB2312"/>
                <w:color w:val="000000"/>
                <w:szCs w:val="21"/>
                <w:highlight w:val="none"/>
                <w:lang w:val="en-US" w:eastAsia="zh-CN"/>
              </w:rPr>
              <w:t>发的文件或函</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rPr>
              <w:t>。未提供的不得分；</w:t>
            </w:r>
          </w:p>
        </w:tc>
        <w:tc>
          <w:tcPr>
            <w:tcW w:w="1687" w:type="dxa"/>
            <w:tcBorders>
              <w:top w:val="single" w:color="auto" w:sz="4" w:space="0"/>
              <w:left w:val="nil"/>
              <w:bottom w:val="single" w:color="auto" w:sz="4" w:space="0"/>
              <w:right w:val="single" w:color="auto" w:sz="4" w:space="0"/>
            </w:tcBorders>
            <w:vAlign w:val="center"/>
          </w:tcPr>
          <w:p>
            <w:pPr>
              <w:rPr>
                <w:rFonts w:hint="eastAsia" w:ascii="方正仿宋_GB2312" w:hAnsi="方正仿宋_GB2312" w:eastAsia="方正仿宋_GB2312" w:cs="方正仿宋_GB2312"/>
                <w:color w:val="000000"/>
                <w:sz w:val="21"/>
                <w:szCs w:val="21"/>
              </w:rPr>
            </w:pPr>
          </w:p>
        </w:tc>
      </w:tr>
    </w:tbl>
    <w:p>
      <w:pPr>
        <w:pStyle w:val="10"/>
        <w:rPr>
          <w:rFonts w:hint="eastAsia"/>
        </w:rPr>
      </w:pPr>
    </w:p>
    <w:p>
      <w:pPr>
        <w:spacing w:line="440" w:lineRule="exact"/>
        <w:ind w:firstLine="480" w:firstLineChars="200"/>
        <w:jc w:val="left"/>
        <w:rPr>
          <w:rFonts w:hint="eastAsia" w:ascii="宋体" w:hAnsi="宋体" w:eastAsia="宋体" w:cs="宋体"/>
          <w:sz w:val="24"/>
          <w:szCs w:val="24"/>
          <w:highlight w:val="yellow"/>
          <w:lang w:val="en-US" w:eastAsia="zh-CN"/>
        </w:rPr>
      </w:pPr>
    </w:p>
    <w:p>
      <w:pPr>
        <w:rPr>
          <w:rFonts w:hint="eastAsia" w:ascii="宋体" w:hAnsi="宋体" w:eastAsia="宋体" w:cs="宋体"/>
          <w:sz w:val="24"/>
          <w:szCs w:val="24"/>
        </w:rPr>
        <w:sectPr>
          <w:headerReference r:id="rId3" w:type="default"/>
          <w:pgSz w:w="11906" w:h="16838"/>
          <w:pgMar w:top="1440" w:right="1800" w:bottom="1440" w:left="1800" w:header="851" w:footer="992" w:gutter="0"/>
          <w:cols w:space="720" w:num="1"/>
          <w:docGrid w:type="lines" w:linePitch="312" w:charSpace="0"/>
        </w:sectPr>
      </w:pPr>
    </w:p>
    <w:bookmarkEnd w:id="3"/>
    <w:bookmarkEnd w:id="4"/>
    <w:bookmarkEnd w:id="5"/>
    <w:bookmarkEnd w:id="6"/>
    <w:p>
      <w:pPr>
        <w:pStyle w:val="9"/>
        <w:keepNext w:val="0"/>
        <w:keepLines w:val="0"/>
        <w:widowControl/>
        <w:suppressLineNumbers w:val="0"/>
        <w:ind w:left="0" w:firstLine="0"/>
        <w:jc w:val="both"/>
        <w:rPr>
          <w:rFonts w:hint="eastAsia" w:ascii="黑体" w:hAnsi="黑体" w:eastAsia="黑体" w:cs="黑体"/>
          <w:b/>
          <w:bCs/>
          <w:i w:val="0"/>
          <w:caps w:val="0"/>
          <w:color w:val="000000"/>
          <w:spacing w:val="0"/>
          <w:sz w:val="32"/>
          <w:szCs w:val="32"/>
          <w:lang w:val="en-US" w:eastAsia="zh-CN"/>
        </w:rPr>
      </w:pPr>
      <w:r>
        <w:rPr>
          <w:rFonts w:hint="eastAsia" w:ascii="黑体" w:hAnsi="黑体" w:eastAsia="黑体" w:cs="黑体"/>
          <w:b/>
          <w:bCs/>
          <w:i w:val="0"/>
          <w:caps w:val="0"/>
          <w:color w:val="000000"/>
          <w:spacing w:val="0"/>
          <w:sz w:val="32"/>
          <w:szCs w:val="32"/>
        </w:rPr>
        <w:t>附件</w:t>
      </w:r>
      <w:r>
        <w:rPr>
          <w:rFonts w:hint="eastAsia" w:ascii="黑体" w:hAnsi="黑体" w:eastAsia="黑体" w:cs="黑体"/>
          <w:b/>
          <w:bCs/>
          <w:i w:val="0"/>
          <w:caps w:val="0"/>
          <w:color w:val="000000"/>
          <w:spacing w:val="0"/>
          <w:sz w:val="32"/>
          <w:szCs w:val="32"/>
          <w:lang w:val="en-US" w:eastAsia="zh-CN"/>
        </w:rPr>
        <w:t>2 主要表格格式</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lang w:val="en-US" w:eastAsia="zh-CN"/>
        </w:rPr>
      </w:pPr>
    </w:p>
    <w:p>
      <w:pPr>
        <w:pStyle w:val="6"/>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lang w:val="en-US" w:eastAsia="zh-CN"/>
        </w:rPr>
      </w:pPr>
    </w:p>
    <w:p>
      <w:pPr>
        <w:pageBreakBefore w:val="0"/>
        <w:kinsoku/>
        <w:wordWrap/>
        <w:overflowPunct/>
        <w:topLinePunct w:val="0"/>
        <w:autoSpaceDE/>
        <w:autoSpaceDN/>
        <w:bidi w:val="0"/>
        <w:spacing w:line="360" w:lineRule="auto"/>
        <w:ind w:right="480"/>
        <w:jc w:val="center"/>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法定代表人授权书</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2"/>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Style w:val="2"/>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2"/>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360" w:lineRule="auto"/>
        <w:ind w:firstLine="470" w:firstLineChars="196"/>
        <w:textAlignment w:val="auto"/>
        <w:outlineLvl w:val="1"/>
        <w:rPr>
          <w:rFonts w:hint="eastAsia" w:ascii="宋体" w:hAnsi="宋体" w:eastAsia="宋体" w:cs="宋体"/>
          <w:sz w:val="24"/>
          <w:szCs w:val="24"/>
        </w:rPr>
      </w:pPr>
      <w:r>
        <w:rPr>
          <w:rFonts w:hint="eastAsia" w:ascii="宋体" w:hAnsi="宋体" w:eastAsia="宋体" w:cs="宋体"/>
          <w:sz w:val="24"/>
          <w:szCs w:val="24"/>
        </w:rPr>
        <w:t>法定代表人签字或盖法定代表人名章：</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授权代表人（签字）：</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供应商名称：         （盖单位公章）</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日    期：</w:t>
      </w: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Cs/>
          <w:sz w:val="24"/>
          <w:szCs w:val="24"/>
        </w:rPr>
      </w:pPr>
      <w:r>
        <w:rPr>
          <w:rFonts w:hint="eastAsia" w:ascii="宋体" w:hAnsi="宋体" w:eastAsia="宋体" w:cs="宋体"/>
          <w:bCs/>
          <w:sz w:val="24"/>
          <w:szCs w:val="24"/>
        </w:rPr>
        <w:t>注：（1）法定代表人不参与磋商而委托代理人磋商适用。</w:t>
      </w:r>
    </w:p>
    <w:p>
      <w:pPr>
        <w:pageBreakBefore w:val="0"/>
        <w:kinsoku/>
        <w:wordWrap/>
        <w:overflowPunct/>
        <w:topLinePunct w:val="0"/>
        <w:autoSpaceDE/>
        <w:autoSpaceDN/>
        <w:bidi w:val="0"/>
        <w:spacing w:line="360" w:lineRule="auto"/>
        <w:ind w:firstLine="360" w:firstLineChars="150"/>
        <w:textAlignment w:val="auto"/>
        <w:outlineLvl w:val="5"/>
        <w:rPr>
          <w:rFonts w:hint="eastAsia" w:ascii="宋体" w:hAnsi="宋体" w:eastAsia="宋体" w:cs="宋体"/>
          <w:bCs/>
          <w:sz w:val="24"/>
          <w:szCs w:val="24"/>
        </w:rPr>
      </w:pPr>
      <w:r>
        <w:rPr>
          <w:rFonts w:hint="eastAsia" w:ascii="宋体" w:hAnsi="宋体" w:eastAsia="宋体" w:cs="宋体"/>
          <w:bCs/>
          <w:sz w:val="24"/>
          <w:szCs w:val="24"/>
        </w:rPr>
        <w:t xml:space="preserve"> （2）附法定代表人、授权代表身份证复印件（</w:t>
      </w:r>
      <w:r>
        <w:rPr>
          <w:rFonts w:hint="eastAsia" w:ascii="宋体" w:hAnsi="宋体" w:eastAsia="宋体" w:cs="宋体"/>
          <w:sz w:val="24"/>
          <w:szCs w:val="24"/>
        </w:rPr>
        <w:t>提供其在有效期的材料，居民身份证正、反面复印件</w:t>
      </w:r>
      <w:r>
        <w:rPr>
          <w:rFonts w:hint="eastAsia" w:ascii="宋体" w:hAnsi="宋体" w:eastAsia="宋体" w:cs="宋体"/>
          <w:bCs/>
          <w:sz w:val="24"/>
          <w:szCs w:val="24"/>
        </w:rPr>
        <w:t>）加盖供应商公章。</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Style w:val="6"/>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××××项目</w:t>
      </w:r>
    </w:p>
    <w:p>
      <w:pPr>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报价一览表</w:t>
      </w:r>
    </w:p>
    <w:tbl>
      <w:tblPr>
        <w:tblStyle w:val="11"/>
        <w:tblpPr w:leftFromText="180" w:rightFromText="180" w:vertAnchor="text" w:horzAnchor="page" w:tblpX="1438" w:tblpY="464"/>
        <w:tblOverlap w:val="never"/>
        <w:tblW w:w="9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2"/>
        <w:gridCol w:w="1581"/>
        <w:gridCol w:w="750"/>
        <w:gridCol w:w="567"/>
        <w:gridCol w:w="1588"/>
        <w:gridCol w:w="1868"/>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类别</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品名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最高限价（元/每件、套）</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配置</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jc w:val="both"/>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2" w:hRule="atLeast"/>
        </w:trPr>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医生服冬装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长袖长装</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医生服夏装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医生服孕妇冬装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长袖长装</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医生服孕妇夏装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护士服冬装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12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护士服夏装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护士孕妇冬装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长袖长装+裤子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护士孕妇夏装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短袖长装+裤子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儿保冬装套装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儿保夏装套装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毛衣</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开衫毛衣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新生儿</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新生儿夹衣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根据需求进行</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体检中心</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体检职业装冬装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量身定制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258.00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根据需求设计</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jc w:val="center"/>
              <w:rPr>
                <w:rFonts w:hint="eastAsia" w:ascii="宋体" w:hAnsi="宋体" w:eastAsia="宋体" w:cs="宋体"/>
                <w:sz w:val="24"/>
                <w:szCs w:val="24"/>
                <w:lang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体检职业装夏装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量身定制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238.00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根据需求设计</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护士鞋</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四季护士鞋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根据需求进行</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122.00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7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汇总金额</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p>
        </w:tc>
      </w:tr>
    </w:tbl>
    <w:p>
      <w:pPr>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注：1.报价应是最终用户验收合格后的总价，税费、采购文件规定的其它费用。</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2.“报价一览表”为多页的，每页均需由法定代表人或授权代表签字并盖投标人印章。</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3.“报价一览表”需单独密封。</w:t>
      </w:r>
    </w:p>
    <w:p>
      <w:pPr>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供应商名称（盖章）：        </w:t>
      </w:r>
    </w:p>
    <w:p>
      <w:pPr>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r>
        <w:rPr>
          <w:rFonts w:hint="eastAsia" w:ascii="宋体" w:hAnsi="宋体" w:eastAsia="宋体" w:cs="宋体"/>
          <w:bCs/>
          <w:sz w:val="24"/>
          <w:szCs w:val="24"/>
        </w:rPr>
        <w:t>联系方式：</w:t>
      </w:r>
      <w:r>
        <w:rPr>
          <w:rFonts w:hint="eastAsia" w:ascii="宋体" w:hAnsi="宋体" w:eastAsia="宋体" w:cs="宋体"/>
          <w:bCs/>
          <w:sz w:val="24"/>
          <w:szCs w:val="24"/>
          <w:u w:val="single"/>
        </w:rPr>
        <w:t xml:space="preserve">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sz w:val="24"/>
          <w:szCs w:val="24"/>
        </w:rPr>
        <w:t>日期：</w:t>
      </w:r>
    </w:p>
    <w:p>
      <w:pPr>
        <w:pageBreakBefore w:val="0"/>
        <w:kinsoku/>
        <w:wordWrap/>
        <w:overflowPunct/>
        <w:topLinePunct w:val="0"/>
        <w:autoSpaceDE/>
        <w:autoSpaceDN/>
        <w:bidi w:val="0"/>
        <w:spacing w:line="360" w:lineRule="auto"/>
        <w:textAlignment w:val="auto"/>
        <w:rPr>
          <w:rFonts w:hint="eastAsia" w:ascii="宋体" w:hAnsi="宋体" w:eastAsia="宋体" w:cs="宋体"/>
          <w:bCs/>
          <w:sz w:val="24"/>
          <w:szCs w:val="24"/>
          <w:u w:val="single"/>
        </w:rPr>
      </w:pPr>
    </w:p>
    <w:p>
      <w:pPr>
        <w:pageBreakBefore w:val="0"/>
        <w:kinsoku/>
        <w:wordWrap/>
        <w:overflowPunct/>
        <w:topLinePunct w:val="0"/>
        <w:autoSpaceDE/>
        <w:autoSpaceDN/>
        <w:bidi w:val="0"/>
        <w:spacing w:line="360" w:lineRule="auto"/>
        <w:textAlignment w:val="auto"/>
        <w:rPr>
          <w:rFonts w:hint="eastAsia" w:ascii="宋体" w:hAnsi="宋体" w:eastAsia="宋体" w:cs="宋体"/>
          <w:bCs/>
          <w:sz w:val="24"/>
          <w:szCs w:val="24"/>
          <w:u w:val="single"/>
        </w:rPr>
      </w:pPr>
    </w:p>
    <w:p>
      <w:pPr>
        <w:pStyle w:val="6"/>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4"/>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4"/>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4"/>
        <w:rPr>
          <w:rFonts w:hint="eastAsia" w:ascii="宋体" w:hAnsi="宋体" w:eastAsia="宋体" w:cs="宋体"/>
          <w:b/>
          <w:bCs/>
          <w:sz w:val="24"/>
          <w:szCs w:val="24"/>
          <w:lang w:val="en-US" w:eastAsia="zh-CN"/>
        </w:rPr>
      </w:pPr>
    </w:p>
    <w:p>
      <w:pPr>
        <w:rPr>
          <w:rFonts w:hint="eastAsia"/>
          <w:lang w:val="en-US" w:eastAsia="zh-CN"/>
        </w:rPr>
      </w:pPr>
    </w:p>
    <w:p>
      <w:pPr>
        <w:pStyle w:val="4"/>
        <w:rPr>
          <w:rFonts w:hint="eastAsia"/>
          <w:lang w:val="en-US" w:eastAsia="zh-CN"/>
        </w:rPr>
      </w:pPr>
    </w:p>
    <w:p>
      <w:pPr>
        <w:pStyle w:val="6"/>
        <w:pageBreakBefore w:val="0"/>
        <w:kinsoku/>
        <w:wordWrap/>
        <w:overflowPunct/>
        <w:topLinePunct w:val="0"/>
        <w:autoSpaceDE/>
        <w:autoSpaceDN/>
        <w:bidi w:val="0"/>
        <w:spacing w:line="360" w:lineRule="auto"/>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无围标、串标行为承诺书</w:t>
      </w:r>
    </w:p>
    <w:p>
      <w:pPr>
        <w:rPr>
          <w:rFonts w:hint="eastAsia"/>
          <w:color w:val="auto"/>
          <w:sz w:val="24"/>
          <w:szCs w:val="24"/>
          <w:lang w:val="en-US" w:eastAsia="zh-CN"/>
        </w:rPr>
      </w:pPr>
    </w:p>
    <w:p>
      <w:pPr>
        <w:pageBreakBefore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2.不同供应商委托同一单位或者个人办理投标事宜；</w:t>
      </w:r>
    </w:p>
    <w:p>
      <w:pPr>
        <w:pStyle w:val="6"/>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4.不同供应商的投标文件异常一致或者投标报价呈规律性差异；</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7.不同供应商的董事、监事、高管、单位负责人为同一人或者存在控股、管理关系的不同单位参加同一采购项目；</w:t>
      </w:r>
    </w:p>
    <w:p>
      <w:pPr>
        <w:pStyle w:val="6"/>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8.供应商之间事先约定由某一特定供应商中标、成交；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9.供应商之间商定部分供应商放弃参加采购活动或者放弃中标、成交；</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10.法律法规界定的其他围标串标行为。</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p>
    <w:p>
      <w:pPr>
        <w:pStyle w:val="6"/>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投标人法人代表或委托代理人（承诺人） ：</w:t>
      </w:r>
    </w:p>
    <w:p>
      <w:pPr>
        <w:pStyle w:val="6"/>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投标人：（公章）  </w:t>
      </w:r>
    </w:p>
    <w:p>
      <w:pPr>
        <w:pStyle w:val="6"/>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pStyle w:val="9"/>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Style w:val="9"/>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r>
        <w:rPr>
          <w:rFonts w:hint="eastAsia" w:ascii="黑体" w:hAnsi="黑体" w:eastAsia="黑体" w:cs="黑体"/>
          <w:b/>
          <w:bCs/>
          <w:i w:val="0"/>
          <w:caps w:val="0"/>
          <w:color w:val="000000"/>
          <w:spacing w:val="0"/>
          <w:kern w:val="0"/>
          <w:sz w:val="32"/>
          <w:szCs w:val="32"/>
          <w:lang w:val="en-US" w:eastAsia="zh-CN" w:bidi="ar"/>
        </w:rPr>
        <w:t>附件3 采购投标文件装订顺序</w:t>
      </w:r>
    </w:p>
    <w:p>
      <w:pPr>
        <w:pStyle w:val="6"/>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w:t>
      </w:r>
      <w:r>
        <w:rPr>
          <w:rFonts w:hint="eastAsia" w:ascii="宋体" w:hAnsi="宋体" w:cs="宋体"/>
          <w:bCs/>
          <w:color w:val="000000"/>
          <w:spacing w:val="8"/>
          <w:sz w:val="24"/>
          <w:szCs w:val="24"/>
          <w:lang w:val="en-US" w:eastAsia="zh-CN"/>
        </w:rPr>
        <w:t>.</w:t>
      </w:r>
      <w:r>
        <w:rPr>
          <w:rFonts w:hint="eastAsia" w:ascii="宋体" w:hAnsi="宋体" w:eastAsia="宋体" w:cs="宋体"/>
          <w:bCs/>
          <w:color w:val="000000"/>
          <w:spacing w:val="8"/>
          <w:sz w:val="24"/>
          <w:szCs w:val="24"/>
        </w:rPr>
        <w:t>封面（公司、项目、联系人、联系方式）；</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pageBreakBefore w:val="0"/>
        <w:numPr>
          <w:ilvl w:val="0"/>
          <w:numId w:val="2"/>
        </w:numPr>
        <w:kinsoku/>
        <w:wordWrap/>
        <w:overflowPunct/>
        <w:topLinePunct w:val="0"/>
        <w:autoSpaceDE/>
        <w:autoSpaceDN/>
        <w:bidi w:val="0"/>
        <w:adjustRightInd w:val="0"/>
        <w:spacing w:line="360" w:lineRule="auto"/>
        <w:ind w:left="420" w:leftChars="0" w:hanging="420" w:firstLineChars="0"/>
        <w:jc w:val="both"/>
        <w:textAlignment w:val="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cs="宋体"/>
          <w:bCs/>
          <w:spacing w:val="8"/>
          <w:sz w:val="24"/>
          <w:szCs w:val="24"/>
          <w:lang w:val="en-US" w:eastAsia="zh-CN"/>
        </w:rPr>
        <w:t>.</w:t>
      </w:r>
      <w:r>
        <w:rPr>
          <w:rFonts w:hint="eastAsia" w:ascii="宋体" w:hAnsi="宋体" w:eastAsia="宋体" w:cs="宋体"/>
          <w:sz w:val="24"/>
          <w:szCs w:val="24"/>
        </w:rPr>
        <w:t>报价一览表；</w:t>
      </w:r>
    </w:p>
    <w:p>
      <w:pPr>
        <w:pageBreakBefore w:val="0"/>
        <w:numPr>
          <w:ilvl w:val="0"/>
          <w:numId w:val="2"/>
        </w:numPr>
        <w:kinsoku/>
        <w:wordWrap/>
        <w:overflowPunct/>
        <w:topLinePunct w:val="0"/>
        <w:autoSpaceDE/>
        <w:autoSpaceDN/>
        <w:bidi w:val="0"/>
        <w:adjustRightInd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企业营业执照（复印件）；</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供应商资质；</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禁止围标、串标情况承诺函；</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color w:val="FF0000"/>
          <w:sz w:val="24"/>
          <w:szCs w:val="24"/>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行业相关</w:t>
      </w:r>
      <w:r>
        <w:rPr>
          <w:rFonts w:hint="eastAsia" w:ascii="宋体" w:hAnsi="宋体" w:eastAsia="宋体" w:cs="宋体"/>
          <w:sz w:val="24"/>
          <w:szCs w:val="24"/>
        </w:rPr>
        <w:t>规范或标准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w:t>
      </w:r>
      <w:r>
        <w:rPr>
          <w:rFonts w:hint="eastAsia" w:ascii="宋体" w:hAnsi="宋体" w:eastAsia="宋体" w:cs="宋体"/>
          <w:bCs/>
          <w:sz w:val="24"/>
          <w:szCs w:val="24"/>
          <w:lang w:val="en-US" w:eastAsia="zh-CN"/>
        </w:rPr>
        <w:t>及其它承诺</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10</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投标人认为需要提供的其它文件</w:t>
      </w:r>
    </w:p>
    <w:p>
      <w:pPr>
        <w:pageBreakBefore w:val="0"/>
        <w:numPr>
          <w:ilvl w:val="0"/>
          <w:numId w:val="2"/>
        </w:numPr>
        <w:tabs>
          <w:tab w:val="left" w:pos="0"/>
        </w:tabs>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cs="宋体"/>
          <w:bCs/>
          <w:spacing w:val="8"/>
          <w:sz w:val="24"/>
          <w:szCs w:val="24"/>
          <w:lang w:val="en-US" w:eastAsia="zh-CN"/>
        </w:rPr>
        <w:t>.</w:t>
      </w:r>
      <w:r>
        <w:rPr>
          <w:rFonts w:hint="eastAsia" w:ascii="宋体" w:hAnsi="宋体" w:eastAsia="宋体" w:cs="宋体"/>
          <w:bCs/>
          <w:spacing w:val="8"/>
          <w:sz w:val="24"/>
          <w:szCs w:val="24"/>
        </w:rPr>
        <w:t>封底</w:t>
      </w:r>
    </w:p>
    <w:p>
      <w:pPr>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Style w:val="6"/>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6"/>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ascii="宋体" w:hAnsi="宋体" w:eastAsia="宋体" w:cs="宋体"/>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b/>
          <w:bCs/>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b/>
          <w:bCs/>
          <w:sz w:val="24"/>
          <w:szCs w:val="24"/>
        </w:rPr>
      </w:pPr>
    </w:p>
    <w:p>
      <w:pPr>
        <w:pageBreakBefore w:val="0"/>
        <w:kinsoku/>
        <w:wordWrap/>
        <w:overflowPunct/>
        <w:topLinePunct w:val="0"/>
        <w:autoSpaceDE/>
        <w:autoSpaceDN/>
        <w:bidi w:val="0"/>
        <w:spacing w:line="360" w:lineRule="auto"/>
        <w:textAlignment w:val="auto"/>
        <w:rPr>
          <w:rFonts w:hint="eastAsia" w:ascii="黑体" w:hAnsi="黑体" w:eastAsia="黑体" w:cs="黑体"/>
          <w:b/>
          <w:bCs/>
          <w:i w:val="0"/>
          <w:caps w:val="0"/>
          <w:color w:val="000000"/>
          <w:spacing w:val="0"/>
          <w:kern w:val="0"/>
          <w:sz w:val="32"/>
          <w:szCs w:val="32"/>
          <w:lang w:val="en-US" w:eastAsia="zh-CN" w:bidi="ar"/>
        </w:rPr>
      </w:pPr>
      <w:r>
        <w:rPr>
          <w:rFonts w:hint="eastAsia" w:ascii="黑体" w:hAnsi="黑体" w:eastAsia="黑体" w:cs="黑体"/>
          <w:b/>
          <w:bCs/>
          <w:i w:val="0"/>
          <w:caps w:val="0"/>
          <w:color w:val="000000"/>
          <w:spacing w:val="0"/>
          <w:kern w:val="0"/>
          <w:sz w:val="32"/>
          <w:szCs w:val="32"/>
          <w:lang w:val="en-US" w:eastAsia="zh-CN" w:bidi="ar"/>
        </w:rPr>
        <w:t>附件4 反商业贿赂承诺书</w:t>
      </w:r>
    </w:p>
    <w:p>
      <w:pPr>
        <w:pStyle w:val="4"/>
        <w:rPr>
          <w:rFonts w:hint="eastAsia"/>
        </w:rPr>
      </w:pPr>
    </w:p>
    <w:p>
      <w:pPr>
        <w:pageBreakBefore w:val="0"/>
        <w:tabs>
          <w:tab w:val="left" w:pos="6645"/>
        </w:tabs>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反商业贿赂承诺书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不与其他投标人相互串通投标报价，损害贵院的合法权益；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不与招标人串通投标，损害国家利益、社会公共利益或他人的合法权益；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不以向招标人或者评标委员会成员行贿的手段谋取中标；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竞标报价不违反相关法律的规定，也不以他人名义投标或者以其他方式弄虚作假，骗取中标；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保证不以其他任何方式扰乱贵院的招标工作；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保证不在药品销售、医疗器械、设备、物资、基建工程竞标中采取账外暗中给予回扣的手段腐蚀、贿赂医护、药剂人员、干部等其他相关人员；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保证不让贵院临床科室、药剂部门以及有关人员登记、统计医生处方或为此提供方便，干扰贵院的正常工作秩序；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保证不以其他任何不正当竞争手段推销药品、医疗器械、设备、物资。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对尚处在竞标阶段的，贵院有权取消本厂家、商家、公司的竞标资格；已经中标的，贵院有权取消中标；对已经获得准入资格的，贵院有权随时取消本厂家、商家、公司的准入资格；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对本厂家、商家、公司相关工作人员做出严肃处理；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对由于本厂家、商家、公司或本厂家、商家、公司工作人员的上述行为给贵院造成经济或名誉损失的，由本厂家、商家、公司负责，并愿意承担全部民事赔偿责任。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 采购物资名称：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w:t>
      </w:r>
      <w:r>
        <w:rPr>
          <w:rFonts w:hint="eastAsia" w:ascii="宋体" w:hAnsi="宋体" w:eastAsia="宋体" w:cs="宋体"/>
          <w:sz w:val="24"/>
          <w:szCs w:val="24"/>
          <w:lang w:val="en-US" w:eastAsia="zh-CN"/>
        </w:rPr>
        <w:t>贰</w:t>
      </w:r>
      <w:r>
        <w:rPr>
          <w:rFonts w:hint="eastAsia" w:ascii="宋体" w:hAnsi="宋体" w:eastAsia="宋体" w:cs="宋体"/>
          <w:sz w:val="24"/>
          <w:szCs w:val="24"/>
        </w:rPr>
        <w:t>份（一份由承诺人自存；一份随竞价书传递）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法人代表或委托代理人（承诺人）</w:t>
      </w:r>
    </w:p>
    <w:p>
      <w:pPr>
        <w:pStyle w:val="9"/>
        <w:keepNext w:val="0"/>
        <w:keepLines w:val="0"/>
        <w:widowControl/>
        <w:suppressLineNumbers w:val="0"/>
        <w:ind w:left="0" w:firstLine="0"/>
        <w:jc w:val="both"/>
        <w:rPr>
          <w:rFonts w:hint="eastAsia" w:ascii="宋体" w:hAnsi="宋体" w:eastAsia="宋体" w:cs="宋体"/>
          <w:i w:val="0"/>
          <w:caps w:val="0"/>
          <w:color w:val="000000"/>
          <w:spacing w:val="0"/>
          <w:sz w:val="28"/>
          <w:szCs w:val="28"/>
        </w:rPr>
      </w:pPr>
    </w:p>
    <w:p/>
    <w:sectPr>
      <w:head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02267E-DEED-4558-A152-2E2188AB24AA}"/>
  </w:font>
  <w:font w:name="黑体">
    <w:panose1 w:val="02010609060101010101"/>
    <w:charset w:val="86"/>
    <w:family w:val="auto"/>
    <w:pitch w:val="default"/>
    <w:sig w:usb0="800002BF" w:usb1="38CF7CFA" w:usb2="00000016" w:usb3="00000000" w:csb0="00040001" w:csb1="00000000"/>
    <w:embedRegular r:id="rId2" w:fontKey="{2DE0120A-B7BB-44B2-A824-5C7029E72C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535D9D2-D696-4B28-8650-CA82727EE06C}"/>
  </w:font>
  <w:font w:name="新宋体">
    <w:panose1 w:val="02010609030101010101"/>
    <w:charset w:val="86"/>
    <w:family w:val="auto"/>
    <w:pitch w:val="default"/>
    <w:sig w:usb0="00000283" w:usb1="288F0000" w:usb2="0000000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431074DB-5A65-4F01-8F69-422B33F088EB}"/>
  </w:font>
  <w:font w:name="方正仿宋_GB2312">
    <w:panose1 w:val="02000000000000000000"/>
    <w:charset w:val="86"/>
    <w:family w:val="auto"/>
    <w:pitch w:val="default"/>
    <w:sig w:usb0="A00002BF" w:usb1="184F6CFA" w:usb2="00000012" w:usb3="00000000" w:csb0="00040001" w:csb1="00000000"/>
    <w:embedRegular r:id="rId5" w:fontKey="{348D793B-DD8C-499F-BA47-4082BBFE1134}"/>
  </w:font>
  <w:font w:name="仿宋">
    <w:panose1 w:val="02010609060101010101"/>
    <w:charset w:val="86"/>
    <w:family w:val="modern"/>
    <w:pitch w:val="default"/>
    <w:sig w:usb0="800002BF" w:usb1="38CF7CFA" w:usb2="00000016" w:usb3="00000000" w:csb0="00040001" w:csb1="00000000"/>
    <w:embedRegular r:id="rId6" w:fontKey="{9090531F-CC67-4D9A-964D-48FCFF20DC6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tab/>
    </w:r>
    <w:r>
      <w:tab/>
    </w:r>
    <w:r>
      <w:fldChar w:fldCharType="begin"/>
    </w:r>
    <w:r>
      <w:instrText xml:space="preserve">PAGE</w:instrText>
    </w:r>
    <w:r>
      <w:fldChar w:fldCharType="separate"/>
    </w:r>
    <w:r>
      <w:t>1</w:t>
    </w:r>
    <w:r>
      <w:fldChar w:fldCharType="end"/>
    </w:r>
    <w:r>
      <w:t>/</w:t>
    </w:r>
    <w:r>
      <w:fldChar w:fldCharType="begin"/>
    </w:r>
    <w:r>
      <w:instrText xml:space="preserve">NUMPAGES</w:instrText>
    </w:r>
    <w:r>
      <w:fldChar w:fldCharType="separate"/>
    </w:r>
    <w:r>
      <w:t>20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tab/>
    </w:r>
    <w:r>
      <w:tab/>
    </w:r>
    <w:r>
      <w:fldChar w:fldCharType="begin"/>
    </w:r>
    <w:r>
      <w:instrText xml:space="preserve">PAGE</w:instrText>
    </w:r>
    <w:r>
      <w:fldChar w:fldCharType="separate"/>
    </w:r>
    <w:r>
      <w:t>1</w:t>
    </w:r>
    <w:r>
      <w:fldChar w:fldCharType="end"/>
    </w:r>
    <w:r>
      <w:t>/</w:t>
    </w:r>
    <w:r>
      <w:fldChar w:fldCharType="begin"/>
    </w:r>
    <w:r>
      <w:instrText xml:space="preserve">NUMPAGES</w:instrText>
    </w:r>
    <w:r>
      <w:fldChar w:fldCharType="separate"/>
    </w:r>
    <w: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EB9EC78F"/>
    <w:multiLevelType w:val="singleLevel"/>
    <w:tmpl w:val="EB9EC78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0D33F19"/>
    <w:rsid w:val="028D50C0"/>
    <w:rsid w:val="03A11A72"/>
    <w:rsid w:val="04FB2D39"/>
    <w:rsid w:val="093832EB"/>
    <w:rsid w:val="0A8D606A"/>
    <w:rsid w:val="0EA10147"/>
    <w:rsid w:val="0EF1295F"/>
    <w:rsid w:val="0F566DED"/>
    <w:rsid w:val="0FFB291E"/>
    <w:rsid w:val="11576580"/>
    <w:rsid w:val="14FE466B"/>
    <w:rsid w:val="1AEF3757"/>
    <w:rsid w:val="1C0E5E41"/>
    <w:rsid w:val="1D392227"/>
    <w:rsid w:val="250A077F"/>
    <w:rsid w:val="299E45D4"/>
    <w:rsid w:val="2F694FD7"/>
    <w:rsid w:val="300D5966"/>
    <w:rsid w:val="311E596E"/>
    <w:rsid w:val="31BE4652"/>
    <w:rsid w:val="31CA0FA3"/>
    <w:rsid w:val="32743EA9"/>
    <w:rsid w:val="34CC4271"/>
    <w:rsid w:val="35717CBC"/>
    <w:rsid w:val="37A2018E"/>
    <w:rsid w:val="39D236DE"/>
    <w:rsid w:val="3D00235E"/>
    <w:rsid w:val="3F692C44"/>
    <w:rsid w:val="405D4153"/>
    <w:rsid w:val="472D38B8"/>
    <w:rsid w:val="49AA1C33"/>
    <w:rsid w:val="4A5F2A22"/>
    <w:rsid w:val="4C2C19FD"/>
    <w:rsid w:val="4E9B2C13"/>
    <w:rsid w:val="52586AA6"/>
    <w:rsid w:val="55B44028"/>
    <w:rsid w:val="617D4BBB"/>
    <w:rsid w:val="61990DAC"/>
    <w:rsid w:val="625D4CC3"/>
    <w:rsid w:val="66B87515"/>
    <w:rsid w:val="671129F3"/>
    <w:rsid w:val="67B61094"/>
    <w:rsid w:val="6AA11FFE"/>
    <w:rsid w:val="6AA85796"/>
    <w:rsid w:val="6E442725"/>
    <w:rsid w:val="70D47E6A"/>
    <w:rsid w:val="78567F26"/>
    <w:rsid w:val="79F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仿宋_GB2312"/>
      <w:b/>
      <w:kern w:val="0"/>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eastAsia="宋体"/>
    </w:rPr>
  </w:style>
  <w:style w:type="paragraph" w:styleId="5">
    <w:name w:val="annotation text"/>
    <w:basedOn w:val="1"/>
    <w:qFormat/>
    <w:uiPriority w:val="0"/>
    <w:pPr>
      <w:jc w:val="left"/>
    </w:pPr>
  </w:style>
  <w:style w:type="paragraph" w:styleId="6">
    <w:name w:val="Body Text"/>
    <w:basedOn w:val="1"/>
    <w:next w:val="1"/>
    <w:qFormat/>
    <w:uiPriority w:val="0"/>
    <w:pPr>
      <w:widowControl/>
      <w:spacing w:line="360" w:lineRule="auto"/>
    </w:pPr>
    <w:rPr>
      <w:color w:val="FF000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next w:val="1"/>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9">
    <w:name w:val="Normal (Web)"/>
    <w:basedOn w:val="1"/>
    <w:qFormat/>
    <w:uiPriority w:val="0"/>
    <w:pPr>
      <w:widowControl/>
      <w:jc w:val="left"/>
    </w:pPr>
    <w:rPr>
      <w:rFonts w:ascii="宋体" w:eastAsia="宋体" w:cs="宋体"/>
      <w:kern w:val="0"/>
      <w:sz w:val="24"/>
      <w:szCs w:val="24"/>
    </w:rPr>
  </w:style>
  <w:style w:type="paragraph" w:styleId="10">
    <w:name w:val="Body Text First Indent"/>
    <w:basedOn w:val="6"/>
    <w:qFormat/>
    <w:uiPriority w:val="0"/>
    <w:pPr>
      <w:ind w:firstLine="420" w:firstLineChars="100"/>
    </w:pPr>
  </w:style>
  <w:style w:type="character" w:customStyle="1" w:styleId="13">
    <w:name w:val="font11"/>
    <w:basedOn w:val="12"/>
    <w:qFormat/>
    <w:uiPriority w:val="0"/>
    <w:rPr>
      <w:rFonts w:hint="eastAsia" w:ascii="新宋体" w:hAnsi="新宋体" w:eastAsia="新宋体" w:cs="新宋体"/>
      <w:color w:val="000000"/>
      <w:sz w:val="22"/>
      <w:szCs w:val="22"/>
      <w:u w:val="none"/>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15、“一、”二级标题"/>
    <w:basedOn w:val="1"/>
    <w:qFormat/>
    <w:uiPriority w:val="0"/>
    <w:pPr>
      <w:wordWrap w:val="0"/>
      <w:topLinePunct/>
      <w:spacing w:before="100" w:beforeAutospacing="1" w:after="100" w:afterAutospacing="1" w:line="240" w:lineRule="auto"/>
      <w:ind w:firstLine="803" w:firstLineChars="200"/>
      <w:outlineLvl w:val="1"/>
    </w:pPr>
    <w:rPr>
      <w:rFonts w:ascii="宋体" w:hAnsi="宋体" w:cs="宋体"/>
      <w:b/>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7956</Words>
  <Characters>8848</Characters>
  <Lines>0</Lines>
  <Paragraphs>0</Paragraphs>
  <TotalTime>9</TotalTime>
  <ScaleCrop>false</ScaleCrop>
  <LinksUpToDate>false</LinksUpToDate>
  <CharactersWithSpaces>9055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2022-08-18T03:42:00Z</dcterms:created>
  <dc:creator>Administrator.DESKTOP-5IFN3JK</dc:creator>
  <cp:lastModifiedBy>罗珊珊</cp:lastModifiedBy>
  <dcterms:modified xsi:type="dcterms:W3CDTF">2022-09-16T03:32:52Z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CA7531D8C86A4D3DAC7005F319D9DA64</vt:lpwstr>
  </property>
</Properties>
</file>