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关于遴选“四川省妇幼保健院视光医学中心项目”合作机构的公告</w:t>
      </w:r>
    </w:p>
    <w:p>
      <w:pPr>
        <w:jc w:val="center"/>
        <w:rPr>
          <w:rFonts w:ascii="仿宋" w:hAnsi="仿宋" w:eastAsia="仿宋" w:cs="Times New Roman"/>
          <w:b/>
          <w:sz w:val="28"/>
          <w:szCs w:val="28"/>
        </w:rPr>
      </w:pPr>
    </w:p>
    <w:p>
      <w:pPr>
        <w:ind w:firstLine="560" w:firstLineChars="200"/>
        <w:rPr>
          <w:rFonts w:ascii="仿宋" w:hAnsi="仿宋" w:eastAsia="仿宋"/>
          <w:sz w:val="28"/>
          <w:szCs w:val="28"/>
        </w:rPr>
      </w:pPr>
      <w:r>
        <w:rPr>
          <w:rFonts w:hint="eastAsia" w:ascii="仿宋" w:hAnsi="仿宋" w:eastAsia="仿宋"/>
          <w:sz w:val="28"/>
          <w:szCs w:val="28"/>
        </w:rPr>
        <w:t>我院将召开“四川省妇幼保健院视光医学中心项目”遴选会议，会议由运营发展部组织。</w:t>
      </w:r>
      <w:r>
        <w:rPr>
          <w:rFonts w:hint="eastAsia" w:ascii="仿宋" w:hAnsi="仿宋" w:eastAsia="仿宋"/>
          <w:color w:val="000000"/>
          <w:sz w:val="28"/>
          <w:szCs w:val="28"/>
        </w:rPr>
        <w:t>届时，请参选机构准时参加，务必提供公司资质（复印件加盖鲜章）及公司实力资料、参选方案、参会人员的授权书等资料，具体事项如下：</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1.会议时间：2022年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日9：00。</w:t>
      </w:r>
    </w:p>
    <w:p>
      <w:pPr>
        <w:ind w:firstLine="557" w:firstLineChars="199"/>
        <w:rPr>
          <w:rFonts w:ascii="仿宋" w:hAnsi="仿宋" w:eastAsia="仿宋"/>
          <w:sz w:val="28"/>
          <w:szCs w:val="28"/>
          <w:highlight w:val="none"/>
        </w:rPr>
      </w:pPr>
      <w:r>
        <w:rPr>
          <w:rFonts w:hint="eastAsia" w:ascii="仿宋" w:hAnsi="仿宋" w:eastAsia="仿宋"/>
          <w:sz w:val="28"/>
          <w:szCs w:val="28"/>
          <w:highlight w:val="none"/>
        </w:rPr>
        <w:t>2.会议地点：四川省妇幼保健院-综合楼（2号楼）</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楼</w:t>
      </w:r>
      <w:r>
        <w:rPr>
          <w:rFonts w:hint="eastAsia" w:ascii="仿宋" w:hAnsi="仿宋" w:eastAsia="仿宋"/>
          <w:sz w:val="28"/>
          <w:szCs w:val="28"/>
          <w:highlight w:val="none"/>
          <w:lang w:eastAsia="zh-CN"/>
        </w:rPr>
        <w:t>远程会诊中心会议室</w:t>
      </w:r>
      <w:r>
        <w:rPr>
          <w:rFonts w:hint="eastAsia" w:ascii="仿宋" w:hAnsi="仿宋" w:eastAsia="仿宋"/>
          <w:sz w:val="28"/>
          <w:szCs w:val="28"/>
          <w:highlight w:val="none"/>
        </w:rPr>
        <w:t>。</w:t>
      </w:r>
    </w:p>
    <w:p>
      <w:pPr>
        <w:ind w:firstLine="560" w:firstLineChars="200"/>
        <w:rPr>
          <w:rFonts w:ascii="仿宋" w:hAnsi="仿宋" w:eastAsia="仿宋"/>
          <w:sz w:val="28"/>
          <w:szCs w:val="28"/>
        </w:rPr>
      </w:pPr>
      <w:r>
        <w:rPr>
          <w:rFonts w:hint="eastAsia" w:ascii="仿宋" w:hAnsi="仿宋" w:eastAsia="仿宋"/>
          <w:sz w:val="28"/>
          <w:szCs w:val="28"/>
        </w:rPr>
        <w:t>3.遴选会议说明：</w:t>
      </w:r>
    </w:p>
    <w:p>
      <w:pPr>
        <w:ind w:firstLine="560" w:firstLineChars="200"/>
        <w:rPr>
          <w:rFonts w:ascii="仿宋" w:hAnsi="仿宋" w:eastAsia="仿宋"/>
          <w:sz w:val="28"/>
          <w:szCs w:val="28"/>
        </w:rPr>
      </w:pPr>
      <w:r>
        <w:rPr>
          <w:rFonts w:hint="eastAsia" w:ascii="仿宋" w:hAnsi="仿宋" w:eastAsia="仿宋"/>
          <w:sz w:val="28"/>
          <w:szCs w:val="28"/>
        </w:rPr>
        <w:t>3.1本次会议评审小组成</w:t>
      </w:r>
      <w:r>
        <w:rPr>
          <w:rFonts w:hint="eastAsia" w:ascii="仿宋" w:hAnsi="仿宋" w:eastAsia="仿宋"/>
          <w:sz w:val="28"/>
          <w:szCs w:val="28"/>
          <w:highlight w:val="none"/>
        </w:rPr>
        <w:t>员由运营发展部、医务部、儿童保健科</w:t>
      </w:r>
      <w:r>
        <w:rPr>
          <w:rFonts w:hint="eastAsia" w:ascii="仿宋_GB2312" w:hAnsi="΢���ź�" w:eastAsia="仿宋_GB2312"/>
          <w:color w:val="333333"/>
          <w:sz w:val="28"/>
          <w:szCs w:val="28"/>
          <w:highlight w:val="none"/>
        </w:rPr>
        <w:t>等相关人员组成</w:t>
      </w:r>
      <w:r>
        <w:rPr>
          <w:rFonts w:hint="eastAsia" w:ascii="仿宋" w:hAnsi="仿宋" w:eastAsia="仿宋"/>
          <w:sz w:val="28"/>
          <w:szCs w:val="28"/>
          <w:highlight w:val="none"/>
        </w:rPr>
        <w:t>。</w:t>
      </w:r>
      <w:r>
        <w:rPr>
          <w:rFonts w:hint="eastAsia" w:ascii="仿宋" w:hAnsi="仿宋" w:eastAsia="仿宋"/>
          <w:color w:val="000000"/>
          <w:sz w:val="28"/>
          <w:szCs w:val="28"/>
          <w:highlight w:val="none"/>
        </w:rPr>
        <w:t>根据各参选机构制作的参选方案</w:t>
      </w:r>
      <w:r>
        <w:rPr>
          <w:rFonts w:hint="eastAsia" w:ascii="仿宋" w:hAnsi="仿宋" w:eastAsia="仿宋"/>
          <w:color w:val="000000"/>
          <w:sz w:val="28"/>
          <w:szCs w:val="28"/>
        </w:rPr>
        <w:t>(一式三份)以及现场沟通情况</w:t>
      </w:r>
      <w:r>
        <w:rPr>
          <w:rFonts w:hint="eastAsia" w:ascii="仿宋" w:hAnsi="仿宋" w:eastAsia="仿宋"/>
          <w:sz w:val="28"/>
          <w:szCs w:val="28"/>
        </w:rPr>
        <w:t>予以遴选（磋商）</w:t>
      </w:r>
      <w:r>
        <w:rPr>
          <w:rFonts w:hint="eastAsia" w:ascii="仿宋" w:hAnsi="仿宋" w:eastAsia="仿宋"/>
          <w:color w:val="000000"/>
          <w:sz w:val="28"/>
          <w:szCs w:val="28"/>
        </w:rPr>
        <w:t>，综合评判后优选条件最适宜、对项目综合保障能力最强的合作方。</w:t>
      </w:r>
    </w:p>
    <w:p>
      <w:pPr>
        <w:ind w:firstLine="560" w:firstLineChars="200"/>
        <w:rPr>
          <w:rFonts w:ascii="仿宋" w:hAnsi="仿宋" w:eastAsia="仿宋"/>
          <w:sz w:val="28"/>
          <w:szCs w:val="28"/>
        </w:rPr>
      </w:pPr>
      <w:r>
        <w:rPr>
          <w:rFonts w:hint="eastAsia" w:ascii="仿宋" w:hAnsi="仿宋" w:eastAsia="仿宋"/>
          <w:sz w:val="28"/>
          <w:szCs w:val="28"/>
        </w:rPr>
        <w:t>3.2请仔细阅读参加会议需要的相关内容，如有贻误，后果自负。</w:t>
      </w:r>
    </w:p>
    <w:p>
      <w:pPr>
        <w:ind w:firstLine="560" w:firstLineChars="200"/>
        <w:rPr>
          <w:rFonts w:ascii="仿宋" w:hAnsi="仿宋" w:eastAsia="仿宋"/>
          <w:sz w:val="28"/>
          <w:szCs w:val="28"/>
        </w:rPr>
      </w:pPr>
      <w:r>
        <w:rPr>
          <w:rFonts w:hint="eastAsia" w:ascii="仿宋" w:hAnsi="仿宋" w:eastAsia="仿宋"/>
          <w:sz w:val="28"/>
          <w:szCs w:val="28"/>
        </w:rPr>
        <w:t>3.3如果本次遴选项目，存在不符合市场调查、资格主体异常、过程违规等情况，我院有权终止本次遴选活动，无义务向各机构解释具体原因。</w:t>
      </w:r>
    </w:p>
    <w:p>
      <w:pPr>
        <w:ind w:firstLine="560" w:firstLineChars="200"/>
        <w:rPr>
          <w:rFonts w:ascii="仿宋" w:hAnsi="仿宋" w:eastAsia="仿宋"/>
          <w:sz w:val="28"/>
          <w:szCs w:val="28"/>
        </w:rPr>
      </w:pPr>
      <w:r>
        <w:rPr>
          <w:rFonts w:hint="eastAsia" w:ascii="仿宋" w:hAnsi="仿宋" w:eastAsia="仿宋"/>
          <w:sz w:val="28"/>
          <w:szCs w:val="28"/>
        </w:rPr>
        <w:t>4.基本遴选要求（见附件1）。</w:t>
      </w:r>
    </w:p>
    <w:p>
      <w:pPr>
        <w:ind w:firstLine="560" w:firstLineChars="200"/>
        <w:rPr>
          <w:rFonts w:ascii="仿宋" w:hAnsi="仿宋" w:eastAsia="仿宋"/>
          <w:sz w:val="28"/>
          <w:szCs w:val="28"/>
        </w:rPr>
      </w:pPr>
      <w:r>
        <w:rPr>
          <w:rFonts w:hint="eastAsia" w:ascii="仿宋" w:hAnsi="仿宋" w:eastAsia="仿宋"/>
          <w:sz w:val="28"/>
          <w:szCs w:val="28"/>
        </w:rPr>
        <w:t>5.参选方案文件书装订顺序（见附件</w:t>
      </w:r>
      <w:r>
        <w:rPr>
          <w:rFonts w:hint="eastAsia" w:ascii="仿宋" w:hAnsi="仿宋" w:eastAsia="仿宋"/>
          <w:sz w:val="28"/>
          <w:szCs w:val="28"/>
          <w:lang w:val="en-US" w:eastAsia="zh-CN"/>
        </w:rPr>
        <w:t>3</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6.参选机构资质要求（6.1-6.1</w:t>
      </w:r>
      <w:r>
        <w:rPr>
          <w:rFonts w:hint="eastAsia" w:ascii="仿宋" w:hAnsi="仿宋" w:eastAsia="仿宋"/>
          <w:sz w:val="28"/>
          <w:szCs w:val="28"/>
          <w:lang w:val="en-US" w:eastAsia="zh-CN"/>
        </w:rPr>
        <w:t>0</w:t>
      </w:r>
      <w:r>
        <w:rPr>
          <w:rFonts w:hint="eastAsia" w:ascii="仿宋" w:hAnsi="仿宋" w:eastAsia="仿宋"/>
          <w:sz w:val="28"/>
          <w:szCs w:val="28"/>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.1营业执照（经有效年检，副本复印件）、税务证（国、地税副本复印件）、组织机构代码证（经有效年检，副本复印件）或提供三证合一的营业执照（经有效年检，副本复印件）</w:t>
      </w:r>
      <w:r>
        <w:rPr>
          <w:rFonts w:hint="eastAsia" w:ascii="仿宋" w:hAnsi="仿宋" w:eastAsia="仿宋"/>
          <w:sz w:val="28"/>
          <w:szCs w:val="28"/>
          <w:lang w:eastAsia="zh-CN"/>
        </w:rPr>
        <w:t>;</w:t>
      </w:r>
      <w:r>
        <w:rPr>
          <w:rFonts w:hint="eastAsia" w:ascii="仿宋" w:hAnsi="仿宋" w:eastAsia="仿宋"/>
          <w:sz w:val="28"/>
          <w:szCs w:val="28"/>
        </w:rPr>
        <w:t>工商登记的经营范围</w:t>
      </w:r>
      <w:r>
        <w:rPr>
          <w:rFonts w:hint="eastAsia" w:ascii="仿宋" w:hAnsi="仿宋" w:eastAsia="仿宋"/>
          <w:sz w:val="28"/>
          <w:szCs w:val="28"/>
          <w:lang w:eastAsia="zh-CN"/>
        </w:rPr>
        <w:t>需</w:t>
      </w:r>
      <w:r>
        <w:rPr>
          <w:rFonts w:hint="eastAsia" w:ascii="仿宋" w:hAnsi="仿宋" w:eastAsia="仿宋"/>
          <w:sz w:val="28"/>
          <w:szCs w:val="28"/>
        </w:rPr>
        <w:t>包含眼镜销售</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.2提供法定代表人身份证复印件，法定代表人身份授权书（附件5）及代理人身份证复印件（注：①复印件加盖公章；②如投标文件均由投标人法定代表人签字的且法定代表人本人参与投标的，则可不提供）</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.3具有良好的商业信誉和健全的财务会计制度；</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.4具有履行合同所必需的设备和专业技术能力；</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.5具有依法缴纳税收和社会保障资金的良好记录；</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.6近三年内，参选机构（包含母公司和子公司）无重大行贿犯罪记录，无重大负面新闻；</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.7近三年内，参选机构未在经营活动中因违法行为受到刑事处罚、处以罚款或者没收财产5万元以上、责令停产停业、吊销许可证或者执照等行政处罚。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.8反商业贿赂承诺书（附件6）；</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6.</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本次</w:t>
      </w:r>
      <w:r>
        <w:rPr>
          <w:rFonts w:hint="eastAsia" w:ascii="仿宋" w:hAnsi="仿宋" w:eastAsia="仿宋"/>
          <w:sz w:val="28"/>
          <w:szCs w:val="28"/>
          <w:lang w:eastAsia="zh-CN"/>
        </w:rPr>
        <w:t>遴选</w:t>
      </w:r>
      <w:r>
        <w:rPr>
          <w:rFonts w:hint="eastAsia" w:ascii="仿宋" w:hAnsi="仿宋" w:eastAsia="仿宋"/>
          <w:sz w:val="28"/>
          <w:szCs w:val="28"/>
        </w:rPr>
        <w:t>活动不接受联合体投标。</w:t>
      </w:r>
    </w:p>
    <w:p>
      <w:pPr>
        <w:ind w:firstLine="560" w:firstLineChars="200"/>
        <w:rPr>
          <w:rFonts w:hint="eastAsia"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均提供承诺函原件并加盖鲜章。</w:t>
      </w:r>
    </w:p>
    <w:p>
      <w:pPr>
        <w:ind w:firstLine="560" w:firstLineChars="200"/>
        <w:rPr>
          <w:rFonts w:ascii="仿宋" w:hAnsi="仿宋" w:eastAsia="仿宋"/>
          <w:sz w:val="28"/>
          <w:szCs w:val="28"/>
        </w:rPr>
      </w:pPr>
      <w:r>
        <w:rPr>
          <w:rFonts w:hint="eastAsia" w:ascii="仿宋" w:hAnsi="仿宋" w:eastAsia="仿宋"/>
          <w:sz w:val="28"/>
          <w:szCs w:val="28"/>
        </w:rPr>
        <w:t>7.其他要求：</w:t>
      </w:r>
    </w:p>
    <w:p>
      <w:pPr>
        <w:ind w:firstLine="560" w:firstLineChars="200"/>
        <w:rPr>
          <w:rFonts w:ascii="仿宋" w:hAnsi="仿宋" w:eastAsia="仿宋"/>
          <w:sz w:val="28"/>
          <w:szCs w:val="28"/>
        </w:rPr>
      </w:pPr>
      <w:r>
        <w:rPr>
          <w:rFonts w:hint="eastAsia" w:ascii="仿宋" w:hAnsi="仿宋" w:eastAsia="仿宋"/>
          <w:sz w:val="28"/>
          <w:szCs w:val="28"/>
        </w:rPr>
        <w:t>7.1参选机构出具的技术支持和服务承诺书（包括响应时间，并对相关问题提出具体的可操作方案和解决途径）。</w:t>
      </w:r>
    </w:p>
    <w:p>
      <w:pPr>
        <w:ind w:firstLine="560" w:firstLineChars="200"/>
        <w:rPr>
          <w:rFonts w:ascii="仿宋" w:hAnsi="仿宋" w:eastAsia="仿宋"/>
          <w:sz w:val="28"/>
          <w:szCs w:val="28"/>
        </w:rPr>
      </w:pPr>
      <w:r>
        <w:rPr>
          <w:rFonts w:hint="eastAsia" w:ascii="仿宋" w:hAnsi="仿宋" w:eastAsia="仿宋"/>
          <w:sz w:val="28"/>
          <w:szCs w:val="28"/>
        </w:rPr>
        <w:t>7.2参选机构应承诺，对合作方认为必要的实地考察或其他方式的询问进行相应的协助。</w:t>
      </w:r>
    </w:p>
    <w:p>
      <w:pPr>
        <w:ind w:firstLine="560" w:firstLineChars="200"/>
        <w:rPr>
          <w:rFonts w:ascii="仿宋" w:hAnsi="仿宋" w:eastAsia="仿宋"/>
          <w:sz w:val="28"/>
          <w:szCs w:val="28"/>
        </w:rPr>
      </w:pPr>
      <w:r>
        <w:rPr>
          <w:rFonts w:hint="eastAsia" w:ascii="仿宋" w:hAnsi="仿宋" w:eastAsia="仿宋"/>
          <w:sz w:val="28"/>
          <w:szCs w:val="28"/>
        </w:rPr>
        <w:t>7.3参选机构应在参选方案中按遴选公告的规定和要求附上所有的资格证明文件，要求提供复印件的必须加盖单位印章，并在必要时提供原件备查。若提供的资格证明文件不全或不实，将导致其合作资格被取消。</w:t>
      </w:r>
    </w:p>
    <w:p>
      <w:pPr>
        <w:ind w:firstLine="560" w:firstLineChars="200"/>
        <w:rPr>
          <w:rFonts w:ascii="仿宋" w:hAnsi="仿宋" w:eastAsia="仿宋"/>
          <w:sz w:val="28"/>
          <w:szCs w:val="28"/>
        </w:rPr>
      </w:pPr>
      <w:r>
        <w:rPr>
          <w:rFonts w:hint="eastAsia" w:ascii="仿宋" w:hAnsi="仿宋" w:eastAsia="仿宋"/>
          <w:sz w:val="28"/>
          <w:szCs w:val="28"/>
        </w:rPr>
        <w:t>8.报名时间及方式：</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8.1报名时间：2022年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28</w:t>
      </w:r>
      <w:r>
        <w:rPr>
          <w:rFonts w:hint="eastAsia" w:ascii="仿宋" w:hAnsi="仿宋" w:eastAsia="仿宋"/>
          <w:sz w:val="28"/>
          <w:szCs w:val="28"/>
          <w:highlight w:val="none"/>
        </w:rPr>
        <w:t>日下午17:00前。</w:t>
      </w:r>
    </w:p>
    <w:p>
      <w:pPr>
        <w:ind w:firstLine="560" w:firstLineChars="200"/>
        <w:rPr>
          <w:rFonts w:ascii="仿宋" w:hAnsi="仿宋" w:eastAsia="仿宋"/>
          <w:sz w:val="28"/>
          <w:szCs w:val="28"/>
        </w:rPr>
      </w:pPr>
      <w:r>
        <w:rPr>
          <w:rFonts w:hint="eastAsia" w:ascii="仿宋" w:hAnsi="仿宋" w:eastAsia="仿宋"/>
          <w:sz w:val="28"/>
          <w:szCs w:val="28"/>
        </w:rPr>
        <w:t>8.2报名方式：拟参选机构在报名期限内携带遴选单位的资质要求复印件一份，盖公章送至四川省妇幼保健院运营发展部（详细地址：成都市武侯区沙堰西二街290号2号楼311室）。逾期将不接受遴选会议报名。</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9.会前要求：</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参选机构需于2022年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28</w:t>
      </w:r>
      <w:r>
        <w:rPr>
          <w:rFonts w:hint="eastAsia" w:ascii="仿宋" w:hAnsi="仿宋" w:eastAsia="仿宋"/>
          <w:sz w:val="28"/>
          <w:szCs w:val="28"/>
          <w:highlight w:val="none"/>
        </w:rPr>
        <w:t>日下午16：00前到</w:t>
      </w:r>
      <w:r>
        <w:rPr>
          <w:rFonts w:hint="eastAsia" w:ascii="仿宋" w:hAnsi="仿宋" w:eastAsia="仿宋"/>
          <w:sz w:val="28"/>
          <w:szCs w:val="28"/>
          <w:highlight w:val="none"/>
        </w:rPr>
        <w:t>我院医院网站“四川省妇幼保健院官网”(www.fybj.net)上下载公告。</w:t>
      </w:r>
    </w:p>
    <w:p>
      <w:pPr>
        <w:numPr>
          <w:ilvl w:val="0"/>
          <w:numId w:val="1"/>
        </w:numPr>
        <w:ind w:firstLine="560" w:firstLineChars="200"/>
        <w:rPr>
          <w:rFonts w:ascii="仿宋" w:hAnsi="仿宋" w:eastAsia="仿宋"/>
          <w:sz w:val="28"/>
          <w:szCs w:val="28"/>
        </w:rPr>
      </w:pPr>
      <w:r>
        <w:rPr>
          <w:rFonts w:hint="eastAsia" w:ascii="仿宋" w:hAnsi="仿宋" w:eastAsia="仿宋"/>
          <w:sz w:val="28"/>
          <w:szCs w:val="28"/>
        </w:rPr>
        <w:t>会议安排：</w:t>
      </w:r>
    </w:p>
    <w:p>
      <w:pPr>
        <w:ind w:firstLine="560" w:firstLineChars="200"/>
        <w:rPr>
          <w:rFonts w:ascii="仿宋" w:hAnsi="仿宋" w:eastAsia="仿宋"/>
          <w:sz w:val="28"/>
          <w:szCs w:val="28"/>
        </w:rPr>
      </w:pPr>
      <w:bookmarkStart w:id="0" w:name="_GoBack"/>
      <w:r>
        <w:rPr>
          <w:rFonts w:hint="eastAsia" w:ascii="仿宋" w:hAnsi="仿宋" w:eastAsia="仿宋"/>
          <w:sz w:val="28"/>
          <w:szCs w:val="28"/>
          <w:highlight w:val="none"/>
        </w:rPr>
        <w:t>10.1 2022 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日9：00前</w:t>
      </w:r>
      <w:r>
        <w:rPr>
          <w:rFonts w:hint="eastAsia" w:ascii="仿宋" w:hAnsi="仿宋" w:eastAsia="仿宋"/>
          <w:sz w:val="28"/>
          <w:szCs w:val="28"/>
          <w:highlight w:val="none"/>
        </w:rPr>
        <w:t>，参</w:t>
      </w:r>
      <w:bookmarkEnd w:id="0"/>
      <w:r>
        <w:rPr>
          <w:rFonts w:hint="eastAsia" w:ascii="仿宋" w:hAnsi="仿宋" w:eastAsia="仿宋"/>
          <w:sz w:val="28"/>
          <w:szCs w:val="28"/>
          <w:highlight w:val="none"/>
        </w:rPr>
        <w:t>选</w:t>
      </w:r>
      <w:r>
        <w:rPr>
          <w:rFonts w:hint="eastAsia" w:ascii="仿宋" w:hAnsi="仿宋" w:eastAsia="仿宋"/>
          <w:sz w:val="28"/>
          <w:szCs w:val="28"/>
        </w:rPr>
        <w:t>机构必须携带机构上述资质证明的复印件（一份）</w:t>
      </w:r>
      <w:r>
        <w:rPr>
          <w:rFonts w:hint="eastAsia" w:ascii="仿宋" w:hAnsi="仿宋" w:eastAsia="仿宋"/>
          <w:b w:val="0"/>
          <w:bCs w:val="0"/>
          <w:sz w:val="28"/>
          <w:szCs w:val="28"/>
        </w:rPr>
        <w:t>密封盖章</w:t>
      </w:r>
      <w:r>
        <w:rPr>
          <w:rFonts w:hint="eastAsia" w:ascii="仿宋" w:hAnsi="仿宋" w:eastAsia="仿宋"/>
          <w:sz w:val="28"/>
          <w:szCs w:val="28"/>
          <w:lang w:eastAsia="zh-CN"/>
        </w:rPr>
        <w:t>；</w:t>
      </w:r>
      <w:r>
        <w:rPr>
          <w:rFonts w:hint="eastAsia" w:ascii="仿宋" w:hAnsi="仿宋" w:eastAsia="仿宋"/>
          <w:sz w:val="28"/>
          <w:szCs w:val="28"/>
        </w:rPr>
        <w:t>《参选方案》（一式三份，正本1份</w:t>
      </w:r>
      <w:r>
        <w:rPr>
          <w:rFonts w:hint="eastAsia" w:ascii="仿宋" w:hAnsi="仿宋" w:eastAsia="仿宋"/>
          <w:sz w:val="28"/>
          <w:szCs w:val="28"/>
          <w:lang w:eastAsia="zh-CN"/>
        </w:rPr>
        <w:t>，</w:t>
      </w:r>
      <w:r>
        <w:rPr>
          <w:rFonts w:hint="eastAsia" w:ascii="仿宋" w:hAnsi="仿宋" w:eastAsia="仿宋"/>
          <w:sz w:val="28"/>
          <w:szCs w:val="28"/>
        </w:rPr>
        <w:t>副本2份，并分别在右上角标明“正本” 和“副本”字样）密封盖章报送至会议地点。以上资料必须在公告截止时间前送达公告要求地点。逾期送达或密封不符合遴选公告规定的恕不接收。</w:t>
      </w:r>
    </w:p>
    <w:p>
      <w:pPr>
        <w:ind w:firstLine="560" w:firstLineChars="200"/>
        <w:rPr>
          <w:rFonts w:ascii="仿宋" w:hAnsi="仿宋" w:eastAsia="仿宋"/>
          <w:sz w:val="28"/>
          <w:szCs w:val="28"/>
        </w:rPr>
      </w:pPr>
      <w:r>
        <w:rPr>
          <w:rFonts w:hint="eastAsia" w:ascii="仿宋" w:hAnsi="仿宋" w:eastAsia="仿宋"/>
          <w:sz w:val="28"/>
          <w:szCs w:val="28"/>
        </w:rPr>
        <w:t>10.2运营发展部主持会议。主持人宣布遴选步骤，强调工作纪律、介绍遴选工作等。</w:t>
      </w:r>
    </w:p>
    <w:p>
      <w:pPr>
        <w:ind w:firstLine="560" w:firstLineChars="200"/>
        <w:rPr>
          <w:rFonts w:ascii="仿宋" w:hAnsi="仿宋" w:eastAsia="仿宋"/>
          <w:sz w:val="28"/>
          <w:szCs w:val="28"/>
        </w:rPr>
      </w:pPr>
      <w:r>
        <w:rPr>
          <w:rFonts w:hint="eastAsia" w:ascii="仿宋" w:hAnsi="仿宋" w:eastAsia="仿宋"/>
          <w:sz w:val="28"/>
          <w:szCs w:val="28"/>
        </w:rPr>
        <w:t>10.3运营发展部负责组织评审专家对参选机构的资格进行审查，通报资格审查情况，宣布参加遴选的机构名单。</w:t>
      </w:r>
    </w:p>
    <w:p>
      <w:pPr>
        <w:ind w:firstLine="560" w:firstLineChars="200"/>
        <w:rPr>
          <w:rFonts w:ascii="仿宋" w:hAnsi="仿宋" w:eastAsia="仿宋"/>
          <w:sz w:val="28"/>
          <w:szCs w:val="28"/>
        </w:rPr>
      </w:pPr>
      <w:r>
        <w:rPr>
          <w:rFonts w:hint="eastAsia" w:ascii="仿宋" w:hAnsi="仿宋" w:eastAsia="仿宋"/>
          <w:sz w:val="28"/>
          <w:szCs w:val="28"/>
        </w:rPr>
        <w:t>10.4参选机构现场介绍,可用PPT模式,时间10分钟以内。</w:t>
      </w:r>
    </w:p>
    <w:p>
      <w:pPr>
        <w:ind w:firstLine="560" w:firstLineChars="200"/>
        <w:rPr>
          <w:rFonts w:ascii="仿宋" w:hAnsi="仿宋" w:eastAsia="仿宋"/>
          <w:sz w:val="28"/>
          <w:szCs w:val="28"/>
        </w:rPr>
      </w:pPr>
      <w:r>
        <w:rPr>
          <w:rFonts w:hint="eastAsia" w:ascii="仿宋" w:hAnsi="仿宋" w:eastAsia="仿宋"/>
          <w:sz w:val="28"/>
          <w:szCs w:val="28"/>
        </w:rPr>
        <w:t>10.5评审小组成员根据各参选机构方案及现场沟通情况进行综合评比，现场统分，打分后形成遴选意见。</w:t>
      </w:r>
    </w:p>
    <w:p>
      <w:pPr>
        <w:ind w:firstLine="560" w:firstLineChars="200"/>
        <w:rPr>
          <w:rFonts w:ascii="仿宋" w:hAnsi="仿宋" w:eastAsia="仿宋"/>
          <w:sz w:val="28"/>
          <w:szCs w:val="28"/>
        </w:rPr>
      </w:pPr>
      <w:r>
        <w:rPr>
          <w:rFonts w:hint="eastAsia" w:ascii="仿宋" w:hAnsi="仿宋" w:eastAsia="仿宋"/>
          <w:sz w:val="28"/>
          <w:szCs w:val="28"/>
        </w:rPr>
        <w:t>10.6根据评审小组成员综合评审情况，填写相应表格，评审小组成员签字确认。</w:t>
      </w:r>
    </w:p>
    <w:p>
      <w:pPr>
        <w:ind w:firstLine="560" w:firstLineChars="200"/>
        <w:rPr>
          <w:rFonts w:ascii="仿宋" w:hAnsi="仿宋" w:eastAsia="仿宋"/>
          <w:sz w:val="28"/>
          <w:szCs w:val="28"/>
        </w:rPr>
      </w:pPr>
      <w:r>
        <w:rPr>
          <w:rFonts w:hint="eastAsia" w:ascii="仿宋" w:hAnsi="仿宋" w:eastAsia="仿宋"/>
          <w:sz w:val="28"/>
          <w:szCs w:val="28"/>
        </w:rPr>
        <w:t>10.7汇总填写《评审报告》，逐级上报。</w:t>
      </w:r>
    </w:p>
    <w:p>
      <w:pPr>
        <w:ind w:firstLine="560" w:firstLineChars="200"/>
        <w:rPr>
          <w:sz w:val="28"/>
          <w:szCs w:val="28"/>
        </w:rPr>
      </w:pPr>
      <w:r>
        <w:rPr>
          <w:rFonts w:hint="eastAsia" w:ascii="仿宋" w:hAnsi="仿宋" w:eastAsia="仿宋"/>
          <w:sz w:val="28"/>
          <w:szCs w:val="28"/>
        </w:rPr>
        <w:t xml:space="preserve">10.8 </w:t>
      </w:r>
      <w:r>
        <w:rPr>
          <w:rFonts w:hint="eastAsia" w:ascii="仿宋" w:hAnsi="仿宋" w:eastAsia="仿宋"/>
          <w:sz w:val="28"/>
          <w:szCs w:val="28"/>
          <w:lang w:eastAsia="zh-CN"/>
        </w:rPr>
        <w:t>七个工作</w:t>
      </w:r>
      <w:r>
        <w:rPr>
          <w:rFonts w:hint="eastAsia" w:ascii="仿宋" w:hAnsi="仿宋" w:eastAsia="仿宋"/>
          <w:sz w:val="28"/>
          <w:szCs w:val="28"/>
        </w:rPr>
        <w:t>日内，将遴选结果电话通知或在医院网站公示告知参选机构。</w:t>
      </w:r>
    </w:p>
    <w:p>
      <w:pPr>
        <w:ind w:firstLine="560" w:firstLineChars="200"/>
        <w:rPr>
          <w:rFonts w:ascii="仿宋" w:hAnsi="仿宋" w:eastAsia="仿宋"/>
          <w:sz w:val="28"/>
          <w:szCs w:val="28"/>
        </w:rPr>
      </w:pPr>
      <w:r>
        <w:rPr>
          <w:rFonts w:hint="eastAsia" w:ascii="仿宋" w:hAnsi="仿宋" w:eastAsia="仿宋"/>
          <w:sz w:val="28"/>
          <w:szCs w:val="28"/>
        </w:rPr>
        <w:t>11.其它说明：</w:t>
      </w:r>
    </w:p>
    <w:p>
      <w:pPr>
        <w:ind w:firstLine="560" w:firstLineChars="200"/>
        <w:rPr>
          <w:rFonts w:ascii="仿宋" w:hAnsi="仿宋" w:eastAsia="仿宋"/>
          <w:sz w:val="28"/>
          <w:szCs w:val="28"/>
        </w:rPr>
      </w:pPr>
      <w:r>
        <w:rPr>
          <w:rFonts w:hint="eastAsia" w:ascii="仿宋" w:hAnsi="仿宋" w:eastAsia="仿宋"/>
          <w:sz w:val="28"/>
          <w:szCs w:val="28"/>
        </w:rPr>
        <w:t>11.1参选方案等资料的编制、装订：根据要求及自身实际用A4纸编制，严格按照参选方案文件书装订顺序（见附件</w:t>
      </w:r>
      <w:r>
        <w:rPr>
          <w:rFonts w:hint="eastAsia" w:ascii="仿宋" w:hAnsi="仿宋" w:eastAsia="仿宋"/>
          <w:sz w:val="28"/>
          <w:szCs w:val="28"/>
          <w:lang w:val="en-US" w:eastAsia="zh-CN"/>
        </w:rPr>
        <w:t>3</w:t>
      </w:r>
      <w:r>
        <w:rPr>
          <w:rFonts w:hint="eastAsia" w:ascii="仿宋" w:hAnsi="仿宋" w:eastAsia="仿宋"/>
          <w:sz w:val="28"/>
          <w:szCs w:val="28"/>
        </w:rPr>
        <w:t>）的要求进行装订。提供的所有资料须加盖鲜章。自带U盘。</w:t>
      </w:r>
    </w:p>
    <w:p>
      <w:pPr>
        <w:ind w:firstLine="560" w:firstLineChars="200"/>
        <w:rPr>
          <w:rFonts w:ascii="仿宋" w:hAnsi="仿宋" w:eastAsia="仿宋"/>
          <w:sz w:val="28"/>
          <w:szCs w:val="28"/>
        </w:rPr>
      </w:pPr>
      <w:r>
        <w:rPr>
          <w:rFonts w:hint="eastAsia" w:ascii="仿宋" w:hAnsi="仿宋" w:eastAsia="仿宋"/>
          <w:sz w:val="28"/>
          <w:szCs w:val="28"/>
        </w:rPr>
        <w:t>11.2解释权归运营发展部。联系人：杨老师  电话：028-65978233。</w:t>
      </w:r>
    </w:p>
    <w:p>
      <w:pPr>
        <w:ind w:firstLine="560" w:firstLineChars="200"/>
        <w:rPr>
          <w:rFonts w:ascii="仿宋" w:hAnsi="仿宋" w:eastAsia="仿宋"/>
          <w:sz w:val="28"/>
          <w:szCs w:val="28"/>
        </w:rPr>
      </w:pPr>
      <w:r>
        <w:rPr>
          <w:rFonts w:hint="eastAsia" w:ascii="仿宋" w:hAnsi="仿宋" w:eastAsia="仿宋"/>
          <w:sz w:val="28"/>
          <w:szCs w:val="28"/>
        </w:rPr>
        <w:t>11.3各参选机构认为遴选文件、遴选过程、中标或者成交结果使自己的权益受到损害的，可以在知道或者应知其权益受到损害之日起</w:t>
      </w:r>
      <w:r>
        <w:rPr>
          <w:rFonts w:hint="eastAsia" w:ascii="仿宋" w:hAnsi="仿宋" w:eastAsia="仿宋"/>
          <w:sz w:val="28"/>
          <w:szCs w:val="28"/>
          <w:lang w:eastAsia="zh-CN"/>
        </w:rPr>
        <w:t>七</w:t>
      </w:r>
      <w:r>
        <w:rPr>
          <w:rFonts w:hint="eastAsia" w:ascii="仿宋" w:hAnsi="仿宋" w:eastAsia="仿宋"/>
          <w:sz w:val="28"/>
          <w:szCs w:val="28"/>
        </w:rPr>
        <w:t>个工作日内，以书面形式向运营发展部提出质疑。运营发展部联系人:杨老师028-65978233。</w:t>
      </w:r>
    </w:p>
    <w:p>
      <w:pPr>
        <w:ind w:firstLine="560" w:firstLineChars="200"/>
        <w:rPr>
          <w:rFonts w:ascii="仿宋" w:hAnsi="仿宋" w:eastAsia="仿宋"/>
          <w:sz w:val="28"/>
          <w:szCs w:val="28"/>
        </w:rPr>
      </w:pPr>
      <w:r>
        <w:rPr>
          <w:rFonts w:hint="eastAsia" w:ascii="仿宋" w:hAnsi="仿宋" w:eastAsia="仿宋"/>
          <w:sz w:val="28"/>
          <w:szCs w:val="28"/>
        </w:rPr>
        <w:t>12</w:t>
      </w:r>
      <w:r>
        <w:rPr>
          <w:rFonts w:hint="eastAsia" w:ascii="仿宋" w:hAnsi="仿宋" w:eastAsia="仿宋"/>
          <w:sz w:val="28"/>
          <w:szCs w:val="28"/>
          <w:lang w:val="en-US" w:eastAsia="zh-CN"/>
        </w:rPr>
        <w:t>.</w:t>
      </w:r>
      <w:r>
        <w:rPr>
          <w:rFonts w:hint="eastAsia" w:ascii="仿宋" w:hAnsi="仿宋" w:eastAsia="仿宋"/>
          <w:sz w:val="28"/>
          <w:szCs w:val="28"/>
        </w:rPr>
        <w:t>疫情防控要求：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12.1每位参会人员的健康码需为绿码，风险城市旅居史”标签显示为绿色</w:t>
      </w:r>
      <w:r>
        <w:rPr>
          <w:rFonts w:hint="eastAsia" w:ascii="仿宋" w:hAnsi="仿宋" w:eastAsia="仿宋"/>
          <w:color w:val="auto"/>
          <w:sz w:val="28"/>
          <w:szCs w:val="28"/>
          <w:lang w:eastAsia="zh-CN"/>
        </w:rPr>
        <w:t>，</w:t>
      </w:r>
      <w:r>
        <w:rPr>
          <w:rFonts w:hint="eastAsia" w:ascii="仿宋" w:hAnsi="仿宋" w:eastAsia="仿宋"/>
          <w:color w:val="auto"/>
          <w:sz w:val="28"/>
          <w:szCs w:val="28"/>
        </w:rPr>
        <w:t>参会人员需提供</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小时内的核酸检测报告</w:t>
      </w:r>
      <w:r>
        <w:rPr>
          <w:rFonts w:hint="eastAsia" w:ascii="仿宋" w:hAnsi="仿宋" w:eastAsia="仿宋"/>
          <w:color w:val="auto"/>
          <w:sz w:val="28"/>
          <w:szCs w:val="28"/>
          <w:lang w:eastAsia="zh-CN"/>
        </w:rPr>
        <w:t>。如后期有变化，以当时疫情防控要求为准。</w:t>
      </w:r>
    </w:p>
    <w:p>
      <w:pPr>
        <w:ind w:firstLine="560" w:firstLineChars="200"/>
        <w:rPr>
          <w:rFonts w:hint="eastAsia" w:ascii="仿宋" w:hAnsi="仿宋" w:eastAsia="仿宋"/>
          <w:sz w:val="28"/>
          <w:szCs w:val="28"/>
        </w:rPr>
      </w:pPr>
      <w:r>
        <w:rPr>
          <w:rFonts w:hint="eastAsia" w:ascii="仿宋" w:hAnsi="仿宋" w:eastAsia="仿宋"/>
          <w:sz w:val="28"/>
          <w:szCs w:val="28"/>
        </w:rPr>
        <w:t>12.2每位参会人员需携带身份证，并在会议期间全程规范佩戴口罩。</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12.3如因疫情防控等原因，需调整会议时间、地点等工作事项的，将在</w:t>
      </w:r>
      <w:r>
        <w:rPr>
          <w:rFonts w:hint="eastAsia" w:ascii="仿宋" w:hAnsi="仿宋" w:eastAsia="仿宋"/>
          <w:sz w:val="28"/>
          <w:szCs w:val="28"/>
        </w:rPr>
        <w:t>“四川省妇幼保健院官网”</w:t>
      </w:r>
      <w:r>
        <w:rPr>
          <w:rFonts w:hint="eastAsia" w:ascii="仿宋" w:hAnsi="仿宋" w:eastAsia="仿宋"/>
          <w:sz w:val="28"/>
          <w:szCs w:val="28"/>
          <w:lang w:val="en-US" w:eastAsia="zh-CN"/>
        </w:rPr>
        <w:t>另行通知。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附件1：</w:t>
      </w:r>
      <w:r>
        <w:rPr>
          <w:rFonts w:hint="eastAsia" w:ascii="仿宋" w:hAnsi="仿宋" w:eastAsia="仿宋"/>
          <w:sz w:val="28"/>
          <w:szCs w:val="28"/>
          <w:lang w:eastAsia="zh-CN"/>
        </w:rPr>
        <w:t>基本遴选要求</w:t>
      </w:r>
    </w:p>
    <w:p>
      <w:pPr>
        <w:outlineLvl w:val="0"/>
        <w:rPr>
          <w:rFonts w:ascii="仿宋" w:hAnsi="仿宋" w:eastAsia="仿宋"/>
          <w:sz w:val="28"/>
          <w:szCs w:val="28"/>
        </w:rPr>
      </w:pPr>
      <w:r>
        <w:rPr>
          <w:rFonts w:hint="eastAsia" w:ascii="仿宋" w:hAnsi="仿宋" w:eastAsia="仿宋"/>
          <w:sz w:val="28"/>
          <w:szCs w:val="28"/>
        </w:rPr>
        <w:t>附件2：合作方案基本格式</w:t>
      </w:r>
    </w:p>
    <w:p>
      <w:pPr>
        <w:outlineLvl w:val="0"/>
        <w:rPr>
          <w:rFonts w:ascii="仿宋" w:hAnsi="仿宋" w:eastAsia="仿宋"/>
          <w:sz w:val="28"/>
          <w:szCs w:val="28"/>
        </w:rPr>
      </w:pPr>
      <w:r>
        <w:rPr>
          <w:rFonts w:hint="eastAsia" w:ascii="仿宋" w:hAnsi="仿宋" w:eastAsia="仿宋"/>
          <w:sz w:val="28"/>
          <w:szCs w:val="28"/>
        </w:rPr>
        <w:t>附件3: 参选</w:t>
      </w:r>
      <w:r>
        <w:rPr>
          <w:rFonts w:hint="eastAsia" w:ascii="仿宋" w:hAnsi="仿宋" w:eastAsia="仿宋"/>
          <w:sz w:val="28"/>
          <w:szCs w:val="28"/>
          <w:lang w:eastAsia="zh-CN"/>
        </w:rPr>
        <w:t>方案</w:t>
      </w:r>
      <w:r>
        <w:rPr>
          <w:rFonts w:hint="eastAsia" w:ascii="仿宋" w:hAnsi="仿宋" w:eastAsia="仿宋"/>
          <w:sz w:val="28"/>
          <w:szCs w:val="28"/>
        </w:rPr>
        <w:t>文件书装订顺序</w:t>
      </w:r>
    </w:p>
    <w:p>
      <w:pPr>
        <w:outlineLvl w:val="0"/>
        <w:rPr>
          <w:rFonts w:ascii="仿宋" w:hAnsi="仿宋" w:eastAsia="仿宋"/>
          <w:sz w:val="28"/>
          <w:szCs w:val="28"/>
        </w:rPr>
      </w:pPr>
      <w:r>
        <w:rPr>
          <w:rFonts w:hint="eastAsia" w:ascii="仿宋" w:hAnsi="仿宋" w:eastAsia="仿宋"/>
          <w:sz w:val="28"/>
          <w:szCs w:val="28"/>
        </w:rPr>
        <w:t>附件4：偏离表</w:t>
      </w:r>
    </w:p>
    <w:p>
      <w:pPr>
        <w:outlineLvl w:val="0"/>
        <w:rPr>
          <w:rFonts w:ascii="仿宋" w:hAnsi="仿宋" w:eastAsia="仿宋"/>
          <w:sz w:val="28"/>
          <w:szCs w:val="28"/>
        </w:rPr>
      </w:pPr>
      <w:r>
        <w:rPr>
          <w:rFonts w:hint="eastAsia" w:ascii="仿宋" w:hAnsi="仿宋" w:eastAsia="仿宋"/>
          <w:sz w:val="28"/>
          <w:szCs w:val="28"/>
        </w:rPr>
        <w:t>附件5：法定代表人身份授权书</w:t>
      </w:r>
    </w:p>
    <w:p>
      <w:pPr>
        <w:outlineLvl w:val="0"/>
        <w:rPr>
          <w:rFonts w:hint="eastAsia" w:ascii="仿宋" w:hAnsi="仿宋" w:eastAsia="仿宋"/>
          <w:sz w:val="28"/>
          <w:szCs w:val="28"/>
        </w:rPr>
      </w:pPr>
      <w:r>
        <w:rPr>
          <w:rFonts w:hint="eastAsia" w:ascii="仿宋" w:hAnsi="仿宋" w:eastAsia="仿宋"/>
          <w:sz w:val="28"/>
          <w:szCs w:val="28"/>
        </w:rPr>
        <w:t>附件6：反商业贿赂承诺书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7：无围标、串标行为承诺书</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：评审办法（综合评分明细表）</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rPr>
          <w:rFonts w:ascii="仿宋" w:hAnsi="仿宋" w:eastAsia="仿宋"/>
          <w:sz w:val="28"/>
          <w:szCs w:val="28"/>
        </w:rPr>
      </w:pPr>
      <w:r>
        <w:rPr>
          <w:rFonts w:hint="eastAsia" w:ascii="仿宋" w:hAnsi="仿宋" w:eastAsia="仿宋"/>
          <w:b/>
          <w:sz w:val="32"/>
          <w:szCs w:val="28"/>
        </w:rPr>
        <w:t>基本遴选要求</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hint="eastAsia" w:ascii="仿宋" w:hAnsi="仿宋" w:eastAsia="仿宋"/>
          <w:sz w:val="28"/>
          <w:szCs w:val="28"/>
          <w:lang w:val="en-US" w:eastAsia="zh-CN"/>
        </w:rPr>
      </w:pPr>
      <w:r>
        <w:rPr>
          <w:rFonts w:hint="eastAsia" w:ascii="仿宋" w:hAnsi="仿宋" w:eastAsia="仿宋"/>
          <w:b/>
          <w:sz w:val="28"/>
          <w:szCs w:val="28"/>
        </w:rPr>
        <w:t>总体要求：</w:t>
      </w:r>
      <w:r>
        <w:rPr>
          <w:rFonts w:hint="eastAsia" w:ascii="仿宋" w:hAnsi="仿宋" w:eastAsia="仿宋"/>
          <w:sz w:val="28"/>
          <w:szCs w:val="28"/>
          <w:lang w:val="en-US" w:eastAsia="zh-CN"/>
        </w:rPr>
        <w:t>为推动我院眼科医疗服务体系发展，提升我院服务能力，拟引进一家第三方合作机构与我院共建“四川省妇幼保健院视光医学中心”，中心主要业务内容包括：医学验光配镜（非医疗属性视光产品）、眼视光继续教育（数字教育云平台+专业实践基地）。</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一、合作模式</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医学验光配镜（非医疗属性视光产品）：参选机构负责配镜设备及人员的投入并负责项目经营、配镜、视光产品销售及售后服务等，我院负责医学验光、提供部分项目合作场地并进行技术指导及管理。项目中涉及的医疗服务费由我院收取，视光产品相关费用（镜片、镜架等非医用耗材）由参选机构收取，参选机构向我院支付项目管理与技术指导费。</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2.眼视光继续教育（数字教育云平台+专业实践基地）</w:t>
      </w:r>
      <w:r>
        <w:rPr>
          <w:rFonts w:hint="default" w:ascii="仿宋" w:hAnsi="仿宋" w:eastAsia="仿宋"/>
          <w:sz w:val="28"/>
          <w:szCs w:val="28"/>
          <w:lang w:val="en-US" w:eastAsia="zh-CN"/>
        </w:rPr>
        <w:t>：</w:t>
      </w:r>
      <w:r>
        <w:rPr>
          <w:rFonts w:hint="eastAsia" w:ascii="仿宋" w:hAnsi="仿宋" w:eastAsia="仿宋"/>
          <w:sz w:val="28"/>
          <w:szCs w:val="28"/>
          <w:lang w:val="en-US" w:eastAsia="zh-CN"/>
        </w:rPr>
        <w:t>参选机构</w:t>
      </w:r>
      <w:r>
        <w:rPr>
          <w:rFonts w:hint="default" w:ascii="仿宋" w:hAnsi="仿宋" w:eastAsia="仿宋"/>
          <w:sz w:val="28"/>
          <w:szCs w:val="28"/>
          <w:lang w:val="en-US" w:eastAsia="zh-CN"/>
        </w:rPr>
        <w:t>负责数字教育云平台的搭建、</w:t>
      </w:r>
      <w:r>
        <w:rPr>
          <w:rFonts w:hint="eastAsia" w:ascii="仿宋" w:hAnsi="仿宋" w:eastAsia="仿宋"/>
          <w:sz w:val="28"/>
          <w:szCs w:val="28"/>
          <w:lang w:val="en-US" w:eastAsia="zh-CN"/>
        </w:rPr>
        <w:t>云平台</w:t>
      </w:r>
      <w:r>
        <w:rPr>
          <w:rFonts w:hint="default" w:ascii="仿宋" w:hAnsi="仿宋" w:eastAsia="仿宋"/>
          <w:sz w:val="28"/>
          <w:szCs w:val="28"/>
          <w:lang w:val="en-US" w:eastAsia="zh-CN"/>
        </w:rPr>
        <w:t>授课专家的配备、培训课程的设置</w:t>
      </w:r>
      <w:r>
        <w:rPr>
          <w:rFonts w:hint="eastAsia" w:ascii="仿宋" w:hAnsi="仿宋" w:eastAsia="仿宋"/>
          <w:sz w:val="28"/>
          <w:szCs w:val="28"/>
          <w:lang w:val="en-US" w:eastAsia="zh-CN"/>
        </w:rPr>
        <w:t>、带教学员的招收；</w:t>
      </w:r>
      <w:r>
        <w:rPr>
          <w:rFonts w:hint="default" w:ascii="仿宋" w:hAnsi="仿宋" w:eastAsia="仿宋"/>
          <w:sz w:val="28"/>
          <w:szCs w:val="28"/>
          <w:lang w:val="en-US" w:eastAsia="zh-CN"/>
        </w:rPr>
        <w:t>我院</w:t>
      </w:r>
      <w:r>
        <w:rPr>
          <w:rFonts w:hint="eastAsia" w:ascii="仿宋" w:hAnsi="仿宋" w:eastAsia="仿宋"/>
          <w:sz w:val="28"/>
          <w:szCs w:val="28"/>
          <w:lang w:val="en-US" w:eastAsia="zh-CN"/>
        </w:rPr>
        <w:t>提供实操训练场地、</w:t>
      </w:r>
      <w:r>
        <w:rPr>
          <w:rFonts w:hint="default" w:ascii="仿宋" w:hAnsi="仿宋" w:eastAsia="仿宋"/>
          <w:sz w:val="28"/>
          <w:szCs w:val="28"/>
          <w:lang w:val="en-US" w:eastAsia="zh-CN"/>
        </w:rPr>
        <w:t>带教师资、部分设备。培训费用</w:t>
      </w:r>
      <w:r>
        <w:rPr>
          <w:rFonts w:hint="eastAsia" w:ascii="仿宋" w:hAnsi="仿宋" w:eastAsia="仿宋"/>
          <w:sz w:val="28"/>
          <w:szCs w:val="28"/>
          <w:lang w:val="en-US" w:eastAsia="zh-CN"/>
        </w:rPr>
        <w:t>由参选机构收取，由参选机构向我院支付</w:t>
      </w:r>
      <w:r>
        <w:rPr>
          <w:rFonts w:hint="default" w:ascii="仿宋" w:hAnsi="仿宋" w:eastAsia="仿宋"/>
          <w:sz w:val="28"/>
          <w:szCs w:val="28"/>
          <w:lang w:val="en-US" w:eastAsia="zh-CN"/>
        </w:rPr>
        <w:t>培训带教费及管理费</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二、遴选要求</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1.参选机构负责配镜区场地的建设，装修最终方案及效果图需要得到我院认可。</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2.参选机构须免费协助医院科室进行近视防控科普宣传与公益活动。</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3.参选机构须免费协助医院科室开展入校视力筛查、眼部体检、近视流调等。</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4.参选机构承诺在我院的配镜经营活动（包括提供的材料及产品的质量、价格）接受我院的指导、监督和检查。</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5.参选机构提供的产品材料必须是合格产品，具备国家认可的相应资质许可证明，并符合国家质量标准。参</w:t>
      </w:r>
      <w:r>
        <w:rPr>
          <w:rFonts w:hint="eastAsia" w:ascii="仿宋" w:hAnsi="仿宋" w:eastAsia="仿宋"/>
          <w:sz w:val="28"/>
          <w:szCs w:val="28"/>
          <w:highlight w:val="none"/>
          <w:lang w:val="en-US" w:eastAsia="zh-CN"/>
        </w:rPr>
        <w:t>选机构的产品和服务接受我院监督，因产品质量或服务等原因与患者发生纠纷或医</w:t>
      </w:r>
      <w:r>
        <w:rPr>
          <w:rFonts w:hint="eastAsia" w:ascii="仿宋" w:hAnsi="仿宋" w:eastAsia="仿宋"/>
          <w:sz w:val="28"/>
          <w:szCs w:val="28"/>
          <w:lang w:val="en-US" w:eastAsia="zh-CN"/>
        </w:rPr>
        <w:t>疗事故的责任均由参选机构承担。</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*6.眼视光继续教育方面，参选机构需具备</w:t>
      </w:r>
      <w:r>
        <w:rPr>
          <w:rFonts w:hint="default" w:ascii="仿宋" w:hAnsi="仿宋" w:eastAsia="仿宋"/>
          <w:sz w:val="28"/>
          <w:szCs w:val="28"/>
          <w:lang w:val="en-US" w:eastAsia="zh-CN"/>
        </w:rPr>
        <w:t>数字教育云平台</w:t>
      </w:r>
      <w:r>
        <w:rPr>
          <w:rFonts w:hint="eastAsia" w:ascii="仿宋" w:hAnsi="仿宋" w:eastAsia="仿宋"/>
          <w:sz w:val="28"/>
          <w:szCs w:val="28"/>
          <w:lang w:val="en-US" w:eastAsia="zh-CN"/>
        </w:rPr>
        <w:t>授课专家师资资源（专家职级</w:t>
      </w:r>
      <w:r>
        <w:rPr>
          <w:rFonts w:hint="eastAsia" w:ascii="仿宋" w:hAnsi="仿宋" w:eastAsia="仿宋"/>
          <w:sz w:val="28"/>
          <w:szCs w:val="28"/>
        </w:rPr>
        <w:t>至少</w:t>
      </w:r>
      <w:r>
        <w:rPr>
          <w:rFonts w:hint="eastAsia" w:ascii="仿宋" w:hAnsi="仿宋" w:eastAsia="仿宋"/>
          <w:sz w:val="28"/>
          <w:szCs w:val="28"/>
          <w:lang w:val="en-US" w:eastAsia="zh-CN"/>
        </w:rPr>
        <w:t>为副高</w:t>
      </w:r>
      <w:r>
        <w:rPr>
          <w:rFonts w:hint="eastAsia" w:ascii="仿宋" w:hAnsi="仿宋" w:eastAsia="仿宋"/>
          <w:sz w:val="28"/>
          <w:szCs w:val="28"/>
        </w:rPr>
        <w:t>级职称</w:t>
      </w:r>
      <w:r>
        <w:rPr>
          <w:rFonts w:hint="eastAsia" w:ascii="仿宋" w:hAnsi="仿宋" w:eastAsia="仿宋"/>
          <w:sz w:val="28"/>
          <w:szCs w:val="28"/>
          <w:lang w:val="en-US" w:eastAsia="zh-CN"/>
        </w:rPr>
        <w:t>及以上）、数字教育云平台资源。</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highlight w:val="none"/>
          <w:lang w:val="en-US" w:eastAsia="zh-CN"/>
        </w:rPr>
        <w:t>*7.参选机构应配备专业验光人员负责视光医学中心的配镜及视光产品销售等相关事宜；在</w:t>
      </w:r>
      <w:r>
        <w:rPr>
          <w:rFonts w:hint="eastAsia" w:ascii="仿宋" w:hAnsi="仿宋" w:eastAsia="仿宋"/>
          <w:sz w:val="28"/>
          <w:szCs w:val="28"/>
          <w:lang w:val="en-US" w:eastAsia="zh-CN"/>
        </w:rPr>
        <w:t>岗验光师需眼视光专业毕业，并取得验光技师相关证件（提供专业技术人员的职称证书，与参选机构的聘用合同或社保缴纳证明材料并加盖参选机构鲜章）。</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b/>
          <w:bCs/>
          <w:sz w:val="28"/>
          <w:szCs w:val="28"/>
          <w:lang w:val="en-US" w:eastAsia="zh-CN"/>
        </w:rPr>
      </w:pPr>
      <w:r>
        <w:rPr>
          <w:rFonts w:hint="eastAsia" w:ascii="仿宋" w:hAnsi="仿宋" w:eastAsia="仿宋"/>
          <w:b w:val="0"/>
          <w:bCs w:val="0"/>
          <w:sz w:val="28"/>
          <w:szCs w:val="28"/>
          <w:lang w:val="en-US" w:eastAsia="zh-CN"/>
        </w:rPr>
        <w:t>*8.</w:t>
      </w:r>
      <w:r>
        <w:rPr>
          <w:rFonts w:hint="eastAsia" w:ascii="仿宋" w:hAnsi="仿宋" w:eastAsia="仿宋"/>
          <w:sz w:val="28"/>
          <w:szCs w:val="28"/>
          <w:lang w:val="en-US" w:eastAsia="zh-CN"/>
        </w:rPr>
        <w:t>视光医学</w:t>
      </w:r>
      <w:r>
        <w:rPr>
          <w:rFonts w:hint="eastAsia" w:ascii="仿宋" w:hAnsi="仿宋" w:eastAsia="仿宋"/>
          <w:sz w:val="28"/>
          <w:szCs w:val="28"/>
          <w:highlight w:val="none"/>
          <w:lang w:val="en-US" w:eastAsia="zh-CN"/>
        </w:rPr>
        <w:t>中心必需产品要</w:t>
      </w:r>
      <w:r>
        <w:rPr>
          <w:rFonts w:hint="eastAsia" w:ascii="仿宋" w:hAnsi="仿宋" w:eastAsia="仿宋"/>
          <w:sz w:val="28"/>
          <w:szCs w:val="28"/>
          <w:lang w:val="en-US" w:eastAsia="zh-CN"/>
        </w:rPr>
        <w:t>求：</w:t>
      </w:r>
    </w:p>
    <w:tbl>
      <w:tblPr>
        <w:tblStyle w:val="12"/>
        <w:tblpPr w:leftFromText="180" w:rightFromText="180" w:vertAnchor="text" w:horzAnchor="page" w:tblpX="1798" w:tblpY="624"/>
        <w:tblOverlap w:val="never"/>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9"/>
        <w:gridCol w:w="1255"/>
        <w:gridCol w:w="812"/>
        <w:gridCol w:w="1154"/>
        <w:gridCol w:w="3563"/>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429" w:type="dxa"/>
            <w:tcMar>
              <w:top w:w="15" w:type="dxa"/>
              <w:left w:w="15" w:type="dxa"/>
              <w:right w:w="15" w:type="dxa"/>
            </w:tcMar>
            <w:vAlign w:val="center"/>
          </w:tcPr>
          <w:p>
            <w:pPr>
              <w:jc w:val="center"/>
              <w:textAlignment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序号</w:t>
            </w:r>
          </w:p>
        </w:tc>
        <w:tc>
          <w:tcPr>
            <w:tcW w:w="3221" w:type="dxa"/>
            <w:gridSpan w:val="3"/>
            <w:tcMar>
              <w:top w:w="15" w:type="dxa"/>
              <w:left w:w="15" w:type="dxa"/>
              <w:right w:w="15" w:type="dxa"/>
            </w:tcMar>
            <w:vAlign w:val="center"/>
          </w:tcPr>
          <w:p>
            <w:pPr>
              <w:jc w:val="center"/>
              <w:textAlignment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产品</w:t>
            </w:r>
          </w:p>
        </w:tc>
        <w:tc>
          <w:tcPr>
            <w:tcW w:w="3563" w:type="dxa"/>
            <w:tcMar>
              <w:top w:w="15" w:type="dxa"/>
              <w:left w:w="15" w:type="dxa"/>
              <w:right w:w="15" w:type="dxa"/>
            </w:tcMar>
            <w:vAlign w:val="center"/>
          </w:tcPr>
          <w:p>
            <w:pPr>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简要技术服务要求</w:t>
            </w:r>
          </w:p>
        </w:tc>
        <w:tc>
          <w:tcPr>
            <w:tcW w:w="1226" w:type="dxa"/>
            <w:tcMar>
              <w:top w:w="15" w:type="dxa"/>
              <w:left w:w="15" w:type="dxa"/>
              <w:right w:w="15" w:type="dxa"/>
            </w:tcMar>
            <w:vAlign w:val="center"/>
          </w:tcPr>
          <w:p>
            <w:pPr>
              <w:jc w:val="center"/>
              <w:textAlignment w:val="center"/>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429"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255"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镜片</w:t>
            </w:r>
          </w:p>
        </w:tc>
        <w:tc>
          <w:tcPr>
            <w:tcW w:w="812"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单光</w:t>
            </w:r>
          </w:p>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镜片</w:t>
            </w: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现片</w:t>
            </w:r>
          </w:p>
        </w:tc>
        <w:tc>
          <w:tcPr>
            <w:tcW w:w="3563" w:type="dxa"/>
            <w:vMerge w:val="restart"/>
            <w:tcMar>
              <w:top w:w="15" w:type="dxa"/>
              <w:left w:w="15" w:type="dxa"/>
              <w:right w:w="15" w:type="dxa"/>
            </w:tcMar>
            <w:vAlign w:val="center"/>
          </w:tcPr>
          <w:p>
            <w:pP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（1）材质：树脂、PC、玻璃等；</w:t>
            </w:r>
          </w:p>
          <w:p>
            <w:pP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（2）特性：非球面和球面，单光、双光、偏光、离焦、渐进多焦点，高低中折射率，有库存片和定制片等；</w:t>
            </w:r>
          </w:p>
          <w:p>
            <w:pPr>
              <w:textAlignment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（3）膜层：绿膜、蓝膜，变色，染色，防蓝光，防辐射、防紫外线、防油污、减反射、耐磨、易清洁等</w:t>
            </w:r>
            <w:r>
              <w:rPr>
                <w:rFonts w:hint="eastAsia" w:ascii="仿宋" w:hAnsi="仿宋" w:eastAsia="仿宋" w:cs="仿宋"/>
                <w:color w:val="000000" w:themeColor="text1"/>
                <w:lang w:eastAsia="zh-CN"/>
                <w14:textFill>
                  <w14:solidFill>
                    <w14:schemeClr w14:val="tx1"/>
                  </w14:solidFill>
                </w14:textFill>
              </w:rPr>
              <w:t>；</w:t>
            </w:r>
          </w:p>
        </w:tc>
        <w:tc>
          <w:tcPr>
            <w:tcW w:w="1226"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均符合国家相关法律法规要求</w:t>
            </w:r>
            <w:r>
              <w:rPr>
                <w:rFonts w:hint="eastAsia" w:ascii="仿宋" w:hAnsi="仿宋" w:eastAsia="仿宋" w:cs="仿宋"/>
                <w:color w:val="000000" w:themeColor="text1"/>
                <w:szCs w:val="21"/>
                <w14:textFill>
                  <w14:solidFill>
                    <w14:schemeClr w14:val="tx1"/>
                  </w14:solidFill>
                </w14:textFill>
              </w:rPr>
              <w:t>，必须包含大众认可度高的知名品牌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812"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车房片</w:t>
            </w:r>
          </w:p>
        </w:tc>
        <w:tc>
          <w:tcPr>
            <w:tcW w:w="3563"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812"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功能性</w:t>
            </w:r>
          </w:p>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镜片</w:t>
            </w: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现片</w:t>
            </w:r>
          </w:p>
        </w:tc>
        <w:tc>
          <w:tcPr>
            <w:tcW w:w="3563"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812"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车房片</w:t>
            </w:r>
          </w:p>
        </w:tc>
        <w:tc>
          <w:tcPr>
            <w:tcW w:w="3563"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9" w:type="dxa"/>
            <w:vMerge w:val="restart"/>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255" w:type="dxa"/>
            <w:vMerge w:val="restart"/>
            <w:tcMar>
              <w:top w:w="15" w:type="dxa"/>
              <w:left w:w="15" w:type="dxa"/>
              <w:right w:w="15" w:type="dxa"/>
            </w:tcMar>
            <w:vAlign w:val="center"/>
          </w:tcPr>
          <w:p>
            <w:pPr>
              <w:ind w:firstLine="420" w:firstLineChars="20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镜架</w:t>
            </w:r>
          </w:p>
        </w:tc>
        <w:tc>
          <w:tcPr>
            <w:tcW w:w="812"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成人</w:t>
            </w: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进口</w:t>
            </w:r>
          </w:p>
        </w:tc>
        <w:tc>
          <w:tcPr>
            <w:tcW w:w="3563" w:type="dxa"/>
            <w:vMerge w:val="restart"/>
            <w:tcMar>
              <w:top w:w="15" w:type="dxa"/>
              <w:left w:w="15" w:type="dxa"/>
              <w:right w:w="15" w:type="dxa"/>
            </w:tcMar>
            <w:vAlign w:val="center"/>
          </w:tcPr>
          <w:p>
            <w:pP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（1）材质：硅胶、塑钢、β钛、TR、金属（合金）、板材等；</w:t>
            </w:r>
          </w:p>
          <w:p>
            <w:pP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（2）特性：有软、轻、耐用、防过敏</w:t>
            </w:r>
            <w:r>
              <w:rPr>
                <w:rFonts w:hint="eastAsia" w:ascii="仿宋" w:hAnsi="仿宋" w:eastAsia="仿宋" w:cs="仿宋"/>
                <w:color w:val="000000" w:themeColor="text1"/>
                <w:sz w:val="21"/>
                <w:szCs w:val="21"/>
                <w:lang w:eastAsia="zh-CN"/>
                <w14:textFill>
                  <w14:solidFill>
                    <w14:schemeClr w14:val="tx1"/>
                  </w14:solidFill>
                </w14:textFill>
              </w:rPr>
              <w:t>。</w:t>
            </w:r>
          </w:p>
        </w:tc>
        <w:tc>
          <w:tcPr>
            <w:tcW w:w="1226"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均符合国家相关法律法规要求</w:t>
            </w:r>
            <w:r>
              <w:rPr>
                <w:rFonts w:hint="eastAsia" w:ascii="仿宋" w:hAnsi="仿宋" w:eastAsia="仿宋" w:cs="仿宋"/>
                <w:color w:val="000000" w:themeColor="text1"/>
                <w:szCs w:val="21"/>
                <w14:textFill>
                  <w14:solidFill>
                    <w14:schemeClr w14:val="tx1"/>
                  </w14:solidFill>
                </w14:textFill>
              </w:rPr>
              <w:t>，必须包含大众认可度高的知名品牌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812"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儿童</w:t>
            </w: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进口</w:t>
            </w:r>
          </w:p>
        </w:tc>
        <w:tc>
          <w:tcPr>
            <w:tcW w:w="3563" w:type="dxa"/>
            <w:vMerge w:val="continue"/>
            <w:tcMar>
              <w:top w:w="15" w:type="dxa"/>
              <w:left w:w="15" w:type="dxa"/>
              <w:right w:w="15" w:type="dxa"/>
            </w:tcMar>
            <w:vAlign w:val="center"/>
          </w:tcPr>
          <w:p>
            <w:pP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812"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成人</w:t>
            </w: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国产</w:t>
            </w:r>
          </w:p>
        </w:tc>
        <w:tc>
          <w:tcPr>
            <w:tcW w:w="3563" w:type="dxa"/>
            <w:vMerge w:val="continue"/>
            <w:tcMar>
              <w:top w:w="15" w:type="dxa"/>
              <w:left w:w="15" w:type="dxa"/>
              <w:right w:w="15" w:type="dxa"/>
            </w:tcMar>
            <w:vAlign w:val="center"/>
          </w:tcPr>
          <w:p>
            <w:pP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812"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儿童</w:t>
            </w:r>
          </w:p>
        </w:tc>
        <w:tc>
          <w:tcPr>
            <w:tcW w:w="1154" w:type="dxa"/>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国产</w:t>
            </w:r>
          </w:p>
        </w:tc>
        <w:tc>
          <w:tcPr>
            <w:tcW w:w="3563" w:type="dxa"/>
            <w:vMerge w:val="continue"/>
            <w:tcMar>
              <w:top w:w="15" w:type="dxa"/>
              <w:left w:w="15" w:type="dxa"/>
              <w:right w:w="15" w:type="dxa"/>
            </w:tcMar>
            <w:vAlign w:val="center"/>
          </w:tcPr>
          <w:p>
            <w:pP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restart"/>
            <w:tcMar>
              <w:top w:w="15" w:type="dxa"/>
              <w:left w:w="15" w:type="dxa"/>
              <w:right w:w="15" w:type="dxa"/>
            </w:tcMar>
            <w:vAlign w:val="center"/>
          </w:tcPr>
          <w:p>
            <w:pPr>
              <w:ind w:firstLine="420" w:firstLineChars="20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太阳</w:t>
            </w:r>
            <w:r>
              <w:rPr>
                <w:rFonts w:hint="eastAsia" w:ascii="仿宋" w:hAnsi="仿宋" w:eastAsia="仿宋" w:cs="仿宋"/>
                <w:color w:val="000000" w:themeColor="text1"/>
                <w:sz w:val="21"/>
                <w:szCs w:val="21"/>
                <w14:textFill>
                  <w14:solidFill>
                    <w14:schemeClr w14:val="tx1"/>
                  </w14:solidFill>
                </w14:textFill>
              </w:rPr>
              <w:t>镜</w:t>
            </w:r>
          </w:p>
        </w:tc>
        <w:tc>
          <w:tcPr>
            <w:tcW w:w="1966" w:type="dxa"/>
            <w:gridSpan w:val="2"/>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进口</w:t>
            </w:r>
          </w:p>
        </w:tc>
        <w:tc>
          <w:tcPr>
            <w:tcW w:w="3563" w:type="dxa"/>
            <w:vMerge w:val="continue"/>
            <w:tcMar>
              <w:top w:w="15" w:type="dxa"/>
              <w:left w:w="15" w:type="dxa"/>
              <w:right w:w="15" w:type="dxa"/>
            </w:tcMar>
            <w:vAlign w:val="center"/>
          </w:tcPr>
          <w:p>
            <w:pP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429"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Mar>
              <w:top w:w="15" w:type="dxa"/>
              <w:left w:w="15" w:type="dxa"/>
              <w:right w:w="15" w:type="dxa"/>
            </w:tcMar>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966" w:type="dxa"/>
            <w:gridSpan w:val="2"/>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国产</w:t>
            </w:r>
          </w:p>
        </w:tc>
        <w:tc>
          <w:tcPr>
            <w:tcW w:w="3563" w:type="dxa"/>
            <w:vMerge w:val="continue"/>
            <w:tcMar>
              <w:top w:w="15" w:type="dxa"/>
              <w:left w:w="15" w:type="dxa"/>
              <w:right w:w="15" w:type="dxa"/>
            </w:tcMar>
            <w:vAlign w:val="center"/>
          </w:tcPr>
          <w:p>
            <w:pP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429" w:type="dxa"/>
            <w:vMerge w:val="restart"/>
            <w:tcMar>
              <w:top w:w="15" w:type="dxa"/>
              <w:left w:w="15" w:type="dxa"/>
              <w:right w:w="15" w:type="dxa"/>
            </w:tcMar>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255" w:type="dxa"/>
            <w:vMerge w:val="restart"/>
            <w:tcMar>
              <w:top w:w="15" w:type="dxa"/>
              <w:left w:w="15" w:type="dxa"/>
              <w:right w:w="15" w:type="dxa"/>
            </w:tcMar>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软镜及护理类产品</w:t>
            </w:r>
          </w:p>
        </w:tc>
        <w:tc>
          <w:tcPr>
            <w:tcW w:w="1966" w:type="dxa"/>
            <w:gridSpan w:val="2"/>
            <w:tcMar>
              <w:top w:w="15" w:type="dxa"/>
              <w:left w:w="15" w:type="dxa"/>
              <w:right w:w="15" w:type="dxa"/>
            </w:tcMar>
            <w:vAlign w:val="center"/>
          </w:tcPr>
          <w:p>
            <w:pPr>
              <w:jc w:val="center"/>
              <w:textAlignment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进口</w:t>
            </w:r>
          </w:p>
        </w:tc>
        <w:tc>
          <w:tcPr>
            <w:tcW w:w="3563"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功能：清洁、消毒、除蛋白、冲洗、保存、润湿等。</w:t>
            </w:r>
          </w:p>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restart"/>
            <w:tcMar>
              <w:top w:w="15" w:type="dxa"/>
              <w:left w:w="15" w:type="dxa"/>
              <w:right w:w="15" w:type="dxa"/>
            </w:tcMar>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均符合国家相关法律法规要求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429" w:type="dxa"/>
            <w:vMerge w:val="continue"/>
            <w:vAlign w:val="center"/>
          </w:tcPr>
          <w:p>
            <w:pPr>
              <w:jc w:val="center"/>
              <w:rPr>
                <w:rFonts w:hint="eastAsia" w:ascii="仿宋" w:hAnsi="仿宋" w:eastAsia="仿宋" w:cs="仿宋"/>
                <w:color w:val="000000" w:themeColor="text1"/>
                <w:sz w:val="21"/>
                <w:szCs w:val="21"/>
                <w14:textFill>
                  <w14:solidFill>
                    <w14:schemeClr w14:val="tx1"/>
                  </w14:solidFill>
                </w14:textFill>
              </w:rPr>
            </w:pPr>
          </w:p>
        </w:tc>
        <w:tc>
          <w:tcPr>
            <w:tcW w:w="1255" w:type="dxa"/>
            <w:vMerge w:val="continue"/>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p>
        </w:tc>
        <w:tc>
          <w:tcPr>
            <w:tcW w:w="1966" w:type="dxa"/>
            <w:gridSpan w:val="2"/>
            <w:vAlign w:val="center"/>
          </w:tcPr>
          <w:p>
            <w:pPr>
              <w:jc w:val="center"/>
              <w:textAlignment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国产</w:t>
            </w:r>
          </w:p>
        </w:tc>
        <w:tc>
          <w:tcPr>
            <w:tcW w:w="3563" w:type="dxa"/>
            <w:vMerge w:val="continue"/>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1226" w:type="dxa"/>
            <w:vMerge w:val="continue"/>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429"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1255" w:type="dxa"/>
          </w:tcPr>
          <w:p>
            <w:pPr>
              <w:jc w:val="both"/>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视功能训练产品</w:t>
            </w:r>
          </w:p>
        </w:tc>
        <w:tc>
          <w:tcPr>
            <w:tcW w:w="1966" w:type="dxa"/>
            <w:gridSpan w:val="2"/>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4789" w:type="dxa"/>
            <w:gridSpan w:val="2"/>
            <w:vAlign w:val="center"/>
          </w:tcPr>
          <w:p>
            <w:pPr>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均符合国家相关法律法规要求</w:t>
            </w:r>
          </w:p>
        </w:tc>
      </w:tr>
    </w:tbl>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（备注：需提供产品厂家授权书并加盖参选机构鲜章）</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9.参选机构须</w:t>
      </w:r>
      <w:r>
        <w:rPr>
          <w:rFonts w:hint="eastAsia" w:ascii="仿宋" w:hAnsi="仿宋" w:eastAsia="仿宋"/>
          <w:sz w:val="28"/>
          <w:szCs w:val="28"/>
          <w:highlight w:val="none"/>
          <w:lang w:val="en-US" w:eastAsia="zh-CN"/>
        </w:rPr>
        <w:t>免费提供视光产品销</w:t>
      </w:r>
      <w:r>
        <w:rPr>
          <w:rFonts w:hint="eastAsia" w:ascii="仿宋" w:hAnsi="仿宋" w:eastAsia="仿宋"/>
          <w:sz w:val="28"/>
          <w:szCs w:val="28"/>
          <w:lang w:val="en-US" w:eastAsia="zh-CN"/>
        </w:rPr>
        <w:t>售管理软件，便于日常销售与患者档案信息管理，并定期向医院汇报相关数据信息；</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10.参选机构免费提供视光医学中心开展相关业务的必要设施、设备，须提供相关管理软件及屈光档案的建立。</w:t>
      </w:r>
    </w:p>
    <w:p>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textAlignment w:val="auto"/>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三、合作期限</w:t>
      </w:r>
    </w:p>
    <w:p>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项目服务期限：3年。</w:t>
      </w: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rPr>
          <w:rFonts w:hint="eastAsia" w:ascii="仿宋" w:hAnsi="仿宋" w:eastAsia="仿宋"/>
          <w:b/>
          <w:sz w:val="32"/>
          <w:szCs w:val="28"/>
        </w:rPr>
      </w:pPr>
      <w:r>
        <w:rPr>
          <w:rFonts w:hint="eastAsia" w:ascii="仿宋" w:hAnsi="仿宋" w:eastAsia="仿宋"/>
          <w:b/>
          <w:sz w:val="32"/>
          <w:szCs w:val="28"/>
        </w:rPr>
        <w:t>合作方案基本格式</w:t>
      </w:r>
    </w:p>
    <w:p>
      <w:pPr>
        <w:ind w:firstLine="420" w:firstLineChars="150"/>
        <w:rPr>
          <w:rFonts w:ascii="仿宋" w:hAnsi="仿宋" w:eastAsia="仿宋"/>
          <w:sz w:val="28"/>
          <w:szCs w:val="28"/>
        </w:rPr>
      </w:pPr>
      <w:r>
        <w:rPr>
          <w:rFonts w:hint="eastAsia" w:ascii="仿宋" w:hAnsi="仿宋" w:eastAsia="仿宋"/>
          <w:sz w:val="28"/>
          <w:szCs w:val="28"/>
        </w:rPr>
        <w:t>至少需包括(不限于)以下内容</w:t>
      </w:r>
    </w:p>
    <w:p>
      <w:pPr>
        <w:rPr>
          <w:rFonts w:ascii="仿宋" w:hAnsi="仿宋" w:eastAsia="仿宋"/>
          <w:sz w:val="28"/>
          <w:szCs w:val="28"/>
        </w:rPr>
      </w:pPr>
      <w:r>
        <w:rPr>
          <w:rFonts w:hint="eastAsia" w:ascii="仿宋" w:hAnsi="仿宋" w:eastAsia="仿宋"/>
          <w:sz w:val="28"/>
          <w:szCs w:val="28"/>
        </w:rPr>
        <w:t>1.满足医院合作模式,提供完整运行流程及质量控制流程；</w:t>
      </w:r>
    </w:p>
    <w:p>
      <w:pPr>
        <w:rPr>
          <w:rFonts w:ascii="仿宋" w:hAnsi="仿宋" w:eastAsia="仿宋"/>
          <w:sz w:val="28"/>
          <w:szCs w:val="28"/>
        </w:rPr>
      </w:pPr>
      <w:r>
        <w:rPr>
          <w:rFonts w:hint="eastAsia" w:ascii="仿宋" w:hAnsi="仿宋" w:eastAsia="仿宋"/>
          <w:sz w:val="28"/>
          <w:szCs w:val="28"/>
        </w:rPr>
        <w:t>2.具体的人员及设备设施等投入；</w:t>
      </w:r>
    </w:p>
    <w:p>
      <w:pPr>
        <w:rPr>
          <w:rFonts w:ascii="仿宋" w:hAnsi="仿宋" w:eastAsia="仿宋"/>
          <w:sz w:val="28"/>
          <w:szCs w:val="28"/>
        </w:rPr>
      </w:pPr>
      <w:r>
        <w:rPr>
          <w:rFonts w:hint="eastAsia" w:ascii="仿宋" w:hAnsi="仿宋" w:eastAsia="仿宋"/>
          <w:sz w:val="28"/>
          <w:szCs w:val="28"/>
        </w:rPr>
        <w:t>3.附件及评分表中要求的承诺书、实施方案等；</w:t>
      </w:r>
    </w:p>
    <w:p>
      <w:pPr>
        <w:rPr>
          <w:rFonts w:hint="eastAsia" w:ascii="仿宋" w:hAnsi="仿宋" w:eastAsia="仿宋"/>
          <w:sz w:val="28"/>
          <w:szCs w:val="28"/>
          <w:lang w:eastAsia="zh-CN"/>
        </w:rPr>
      </w:pPr>
      <w:r>
        <w:rPr>
          <w:rFonts w:hint="eastAsia" w:ascii="仿宋" w:hAnsi="仿宋" w:eastAsia="仿宋"/>
          <w:sz w:val="28"/>
          <w:szCs w:val="28"/>
        </w:rPr>
        <w:t>4.</w:t>
      </w:r>
      <w:r>
        <w:rPr>
          <w:rFonts w:hint="eastAsia" w:ascii="仿宋" w:hAnsi="仿宋" w:eastAsia="仿宋"/>
          <w:sz w:val="28"/>
          <w:szCs w:val="28"/>
          <w:lang w:eastAsia="zh-CN"/>
        </w:rPr>
        <w:t>报价表</w:t>
      </w:r>
      <w:r>
        <w:rPr>
          <w:rFonts w:hint="eastAsia" w:ascii="仿宋" w:hAnsi="仿宋" w:eastAsia="仿宋"/>
          <w:sz w:val="28"/>
          <w:szCs w:val="28"/>
          <w:lang w:val="en-US" w:eastAsia="zh-CN"/>
        </w:rPr>
        <w:t xml:space="preserve"> </w:t>
      </w:r>
      <w:r>
        <w:rPr>
          <w:rFonts w:hint="eastAsia" w:ascii="仿宋" w:hAnsi="仿宋" w:eastAsia="仿宋"/>
          <w:sz w:val="28"/>
          <w:szCs w:val="28"/>
        </w:rPr>
        <w:t>(此处报价为医院实际所得费用)</w:t>
      </w:r>
      <w:r>
        <w:rPr>
          <w:rFonts w:hint="eastAsia" w:ascii="仿宋" w:hAnsi="仿宋" w:eastAsia="仿宋"/>
          <w:sz w:val="28"/>
          <w:szCs w:val="28"/>
          <w:lang w:eastAsia="zh-CN"/>
        </w:rPr>
        <w:t>；</w:t>
      </w:r>
    </w:p>
    <w:tbl>
      <w:tblPr>
        <w:tblStyle w:val="13"/>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37"/>
        <w:gridCol w:w="2541"/>
        <w:gridCol w:w="2488"/>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6" w:type="dxa"/>
            <w:vAlign w:val="center"/>
          </w:tcPr>
          <w:p>
            <w:pPr>
              <w:pStyle w:val="2"/>
              <w:ind w:left="0" w:leftChars="0" w:firstLine="0" w:firstLineChars="0"/>
              <w:jc w:val="both"/>
              <w:rPr>
                <w:rFonts w:hint="eastAsia" w:ascii="仿宋" w:hAnsi="仿宋" w:eastAsia="仿宋"/>
                <w:b/>
                <w:bCs/>
                <w:sz w:val="22"/>
                <w:szCs w:val="22"/>
                <w:vertAlign w:val="baseline"/>
                <w:lang w:val="en-US" w:eastAsia="zh-CN"/>
              </w:rPr>
            </w:pPr>
            <w:r>
              <w:rPr>
                <w:rFonts w:hint="eastAsia" w:ascii="仿宋" w:hAnsi="仿宋" w:eastAsia="仿宋"/>
                <w:b/>
                <w:bCs/>
                <w:sz w:val="22"/>
                <w:szCs w:val="22"/>
                <w:vertAlign w:val="baseline"/>
                <w:lang w:val="en-US" w:eastAsia="zh-CN"/>
              </w:rPr>
              <w:t>序号</w:t>
            </w:r>
          </w:p>
        </w:tc>
        <w:tc>
          <w:tcPr>
            <w:tcW w:w="1437" w:type="dxa"/>
            <w:vAlign w:val="center"/>
          </w:tcPr>
          <w:p>
            <w:pPr>
              <w:pStyle w:val="2"/>
              <w:ind w:left="0" w:leftChars="0" w:firstLine="0" w:firstLineChars="0"/>
              <w:jc w:val="center"/>
              <w:rPr>
                <w:rFonts w:hint="eastAsia" w:ascii="仿宋" w:hAnsi="仿宋" w:eastAsia="仿宋"/>
                <w:b/>
                <w:bCs/>
                <w:sz w:val="22"/>
                <w:szCs w:val="22"/>
                <w:vertAlign w:val="baseline"/>
                <w:lang w:val="en-US" w:eastAsia="zh-CN"/>
              </w:rPr>
            </w:pPr>
            <w:r>
              <w:rPr>
                <w:rFonts w:hint="eastAsia" w:ascii="仿宋" w:hAnsi="仿宋" w:eastAsia="仿宋"/>
                <w:b/>
                <w:bCs/>
                <w:sz w:val="22"/>
                <w:szCs w:val="22"/>
                <w:vertAlign w:val="baseline"/>
                <w:lang w:val="en-US" w:eastAsia="zh-CN"/>
              </w:rPr>
              <w:t>业务内容</w:t>
            </w:r>
          </w:p>
        </w:tc>
        <w:tc>
          <w:tcPr>
            <w:tcW w:w="2541" w:type="dxa"/>
            <w:vAlign w:val="center"/>
          </w:tcPr>
          <w:p>
            <w:pPr>
              <w:pStyle w:val="2"/>
              <w:ind w:left="0" w:leftChars="0" w:firstLine="0" w:firstLineChars="0"/>
              <w:jc w:val="center"/>
              <w:rPr>
                <w:rFonts w:hint="eastAsia" w:ascii="仿宋" w:hAnsi="仿宋" w:eastAsia="仿宋"/>
                <w:b/>
                <w:bCs/>
                <w:sz w:val="22"/>
                <w:szCs w:val="22"/>
                <w:vertAlign w:val="baseline"/>
                <w:lang w:val="en-US" w:eastAsia="zh-CN"/>
              </w:rPr>
            </w:pPr>
            <w:r>
              <w:rPr>
                <w:rFonts w:hint="eastAsia" w:ascii="仿宋" w:hAnsi="仿宋" w:eastAsia="仿宋"/>
                <w:b/>
                <w:bCs/>
                <w:sz w:val="22"/>
                <w:szCs w:val="22"/>
                <w:vertAlign w:val="baseline"/>
                <w:lang w:val="en-US" w:eastAsia="zh-CN"/>
              </w:rPr>
              <w:t>项目名称</w:t>
            </w:r>
          </w:p>
        </w:tc>
        <w:tc>
          <w:tcPr>
            <w:tcW w:w="2488" w:type="dxa"/>
            <w:vAlign w:val="center"/>
          </w:tcPr>
          <w:p>
            <w:pPr>
              <w:pStyle w:val="2"/>
              <w:ind w:left="0" w:leftChars="0" w:firstLine="0" w:firstLineChars="0"/>
              <w:jc w:val="center"/>
              <w:rPr>
                <w:rFonts w:hint="eastAsia" w:ascii="仿宋" w:hAnsi="仿宋" w:eastAsia="仿宋"/>
                <w:b/>
                <w:bCs/>
                <w:sz w:val="22"/>
                <w:szCs w:val="22"/>
                <w:vertAlign w:val="baseline"/>
                <w:lang w:val="en-US" w:eastAsia="zh-CN"/>
              </w:rPr>
            </w:pPr>
            <w:r>
              <w:rPr>
                <w:rFonts w:hint="eastAsia" w:ascii="仿宋" w:hAnsi="仿宋" w:eastAsia="仿宋"/>
                <w:b/>
                <w:bCs/>
                <w:sz w:val="22"/>
                <w:szCs w:val="22"/>
                <w:vertAlign w:val="baseline"/>
                <w:lang w:val="en-US" w:eastAsia="zh-CN"/>
              </w:rPr>
              <w:t>报价</w:t>
            </w:r>
          </w:p>
        </w:tc>
        <w:tc>
          <w:tcPr>
            <w:tcW w:w="1603" w:type="dxa"/>
            <w:vAlign w:val="center"/>
          </w:tcPr>
          <w:p>
            <w:pPr>
              <w:pStyle w:val="2"/>
              <w:ind w:left="0" w:leftChars="0" w:firstLine="0" w:firstLineChars="0"/>
              <w:jc w:val="center"/>
              <w:rPr>
                <w:rFonts w:hint="eastAsia" w:ascii="仿宋" w:hAnsi="仿宋" w:eastAsia="仿宋"/>
                <w:b/>
                <w:bCs/>
                <w:sz w:val="22"/>
                <w:szCs w:val="22"/>
                <w:vertAlign w:val="baseline"/>
                <w:lang w:val="en-US" w:eastAsia="zh-CN"/>
              </w:rPr>
            </w:pPr>
            <w:r>
              <w:rPr>
                <w:rFonts w:hint="eastAsia" w:ascii="仿宋" w:hAnsi="仿宋" w:eastAsia="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6" w:type="dxa"/>
            <w:vAlign w:val="center"/>
          </w:tcPr>
          <w:p>
            <w:pPr>
              <w:pStyle w:val="2"/>
              <w:ind w:left="0" w:leftChars="0" w:firstLine="0" w:firstLineChars="0"/>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1</w:t>
            </w:r>
          </w:p>
        </w:tc>
        <w:tc>
          <w:tcPr>
            <w:tcW w:w="1437" w:type="dxa"/>
            <w:vAlign w:val="center"/>
          </w:tcPr>
          <w:p>
            <w:pPr>
              <w:pStyle w:val="2"/>
              <w:ind w:left="0" w:leftChars="0" w:firstLine="0" w:firstLineChars="0"/>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医学验光配镜</w:t>
            </w:r>
          </w:p>
        </w:tc>
        <w:tc>
          <w:tcPr>
            <w:tcW w:w="2541" w:type="dxa"/>
            <w:vAlign w:val="center"/>
          </w:tcPr>
          <w:p>
            <w:pPr>
              <w:pStyle w:val="2"/>
              <w:ind w:left="0" w:leftChars="0" w:firstLine="0" w:firstLineChars="0"/>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项目管理与技术指导费</w:t>
            </w:r>
          </w:p>
        </w:tc>
        <w:tc>
          <w:tcPr>
            <w:tcW w:w="2488" w:type="dxa"/>
            <w:vAlign w:val="center"/>
          </w:tcPr>
          <w:p>
            <w:pPr>
              <w:pStyle w:val="2"/>
              <w:ind w:left="0" w:leftChars="0" w:firstLine="0" w:firstLineChars="0"/>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 xml:space="preserve">       元/年</w:t>
            </w:r>
          </w:p>
        </w:tc>
        <w:tc>
          <w:tcPr>
            <w:tcW w:w="1603" w:type="dxa"/>
            <w:vAlign w:val="center"/>
          </w:tcPr>
          <w:p>
            <w:pPr>
              <w:pStyle w:val="2"/>
              <w:ind w:left="0" w:leftChars="0" w:firstLine="0" w:firstLineChars="0"/>
              <w:jc w:val="center"/>
              <w:rPr>
                <w:rFonts w:hint="eastAsia" w:ascii="仿宋" w:hAnsi="仿宋" w:eastAsia="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6" w:type="dxa"/>
            <w:vAlign w:val="center"/>
          </w:tcPr>
          <w:p>
            <w:pPr>
              <w:pStyle w:val="2"/>
              <w:ind w:left="0" w:leftChars="0" w:firstLine="0" w:firstLineChars="0"/>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2</w:t>
            </w:r>
          </w:p>
        </w:tc>
        <w:tc>
          <w:tcPr>
            <w:tcW w:w="1437" w:type="dxa"/>
            <w:vMerge w:val="restart"/>
            <w:vAlign w:val="center"/>
          </w:tcPr>
          <w:p>
            <w:pPr>
              <w:pStyle w:val="2"/>
              <w:ind w:left="0" w:leftChars="0" w:firstLine="0" w:firstLineChars="0"/>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眼视光继续教育</w:t>
            </w:r>
          </w:p>
        </w:tc>
        <w:tc>
          <w:tcPr>
            <w:tcW w:w="2541" w:type="dxa"/>
            <w:vAlign w:val="center"/>
          </w:tcPr>
          <w:p>
            <w:pPr>
              <w:pStyle w:val="2"/>
              <w:ind w:left="0" w:leftChars="0" w:firstLine="0" w:firstLineChars="0"/>
              <w:jc w:val="center"/>
              <w:rPr>
                <w:rFonts w:hint="eastAsia" w:ascii="仿宋" w:hAnsi="仿宋" w:eastAsia="仿宋"/>
                <w:sz w:val="22"/>
                <w:szCs w:val="22"/>
                <w:highlight w:val="none"/>
                <w:vertAlign w:val="baseline"/>
                <w:lang w:val="en-US" w:eastAsia="zh-CN"/>
              </w:rPr>
            </w:pPr>
            <w:r>
              <w:rPr>
                <w:rFonts w:hint="eastAsia" w:ascii="仿宋" w:hAnsi="仿宋" w:eastAsia="仿宋"/>
                <w:sz w:val="22"/>
                <w:szCs w:val="22"/>
                <w:highlight w:val="none"/>
                <w:vertAlign w:val="baseline"/>
                <w:lang w:val="en-US" w:eastAsia="zh-CN"/>
              </w:rPr>
              <w:t>培训带教费</w:t>
            </w:r>
          </w:p>
        </w:tc>
        <w:tc>
          <w:tcPr>
            <w:tcW w:w="2488" w:type="dxa"/>
            <w:vAlign w:val="center"/>
          </w:tcPr>
          <w:p>
            <w:pPr>
              <w:pStyle w:val="2"/>
              <w:ind w:left="0" w:leftChars="0" w:firstLine="0" w:firstLineChars="0"/>
              <w:jc w:val="center"/>
              <w:rPr>
                <w:rFonts w:hint="eastAsia" w:ascii="仿宋" w:hAnsi="仿宋" w:eastAsia="仿宋"/>
                <w:sz w:val="22"/>
                <w:szCs w:val="22"/>
                <w:highlight w:val="none"/>
                <w:vertAlign w:val="baseline"/>
                <w:lang w:val="en-US" w:eastAsia="zh-CN"/>
              </w:rPr>
            </w:pPr>
            <w:r>
              <w:rPr>
                <w:rFonts w:hint="eastAsia" w:ascii="仿宋" w:hAnsi="仿宋" w:eastAsia="仿宋"/>
                <w:sz w:val="22"/>
                <w:szCs w:val="22"/>
                <w:highlight w:val="none"/>
                <w:vertAlign w:val="baseline"/>
                <w:lang w:val="en-US" w:eastAsia="zh-CN"/>
              </w:rPr>
              <w:t xml:space="preserve">      元/学员</w:t>
            </w:r>
          </w:p>
        </w:tc>
        <w:tc>
          <w:tcPr>
            <w:tcW w:w="1603" w:type="dxa"/>
            <w:vAlign w:val="center"/>
          </w:tcPr>
          <w:p>
            <w:pPr>
              <w:pStyle w:val="2"/>
              <w:ind w:left="0" w:leftChars="0" w:firstLine="0" w:firstLineChars="0"/>
              <w:jc w:val="center"/>
              <w:rPr>
                <w:rFonts w:hint="eastAsia" w:ascii="仿宋" w:hAnsi="仿宋" w:eastAsia="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46" w:type="dxa"/>
            <w:vAlign w:val="center"/>
          </w:tcPr>
          <w:p>
            <w:pPr>
              <w:pStyle w:val="2"/>
              <w:ind w:left="0" w:leftChars="0" w:firstLine="0" w:firstLineChars="0"/>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3</w:t>
            </w:r>
          </w:p>
        </w:tc>
        <w:tc>
          <w:tcPr>
            <w:tcW w:w="1437" w:type="dxa"/>
            <w:vMerge w:val="continue"/>
            <w:vAlign w:val="center"/>
          </w:tcPr>
          <w:p>
            <w:pPr>
              <w:pStyle w:val="2"/>
              <w:ind w:left="0" w:leftChars="0" w:firstLine="0" w:firstLineChars="0"/>
              <w:jc w:val="center"/>
              <w:rPr>
                <w:rFonts w:hint="eastAsia" w:ascii="仿宋" w:hAnsi="仿宋" w:eastAsia="仿宋"/>
                <w:sz w:val="22"/>
                <w:szCs w:val="22"/>
                <w:vertAlign w:val="baseline"/>
                <w:lang w:val="en-US" w:eastAsia="zh-CN"/>
              </w:rPr>
            </w:pPr>
          </w:p>
        </w:tc>
        <w:tc>
          <w:tcPr>
            <w:tcW w:w="2541" w:type="dxa"/>
            <w:vAlign w:val="center"/>
          </w:tcPr>
          <w:p>
            <w:pPr>
              <w:pStyle w:val="2"/>
              <w:ind w:left="0" w:leftChars="0" w:firstLine="0" w:firstLineChars="0"/>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管理费</w:t>
            </w:r>
          </w:p>
        </w:tc>
        <w:tc>
          <w:tcPr>
            <w:tcW w:w="2488" w:type="dxa"/>
            <w:vAlign w:val="center"/>
          </w:tcPr>
          <w:p>
            <w:pPr>
              <w:pStyle w:val="2"/>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元/年</w:t>
            </w:r>
          </w:p>
        </w:tc>
        <w:tc>
          <w:tcPr>
            <w:tcW w:w="1603" w:type="dxa"/>
            <w:vAlign w:val="center"/>
          </w:tcPr>
          <w:p>
            <w:pPr>
              <w:pStyle w:val="2"/>
              <w:jc w:val="center"/>
              <w:rPr>
                <w:rFonts w:hint="eastAsia" w:ascii="仿宋" w:hAnsi="仿宋" w:eastAsia="仿宋"/>
                <w:sz w:val="22"/>
                <w:szCs w:val="22"/>
                <w:vertAlign w:val="baseline"/>
                <w:lang w:val="en-US" w:eastAsia="zh-CN"/>
              </w:rPr>
            </w:pPr>
          </w:p>
        </w:tc>
      </w:tr>
    </w:tbl>
    <w:p>
      <w:pPr>
        <w:pStyle w:val="4"/>
        <w:rPr>
          <w:rFonts w:hint="eastAsia" w:ascii="仿宋" w:hAnsi="仿宋" w:eastAsia="仿宋"/>
          <w:sz w:val="24"/>
          <w:szCs w:val="24"/>
        </w:rPr>
      </w:pPr>
      <w:r>
        <w:rPr>
          <w:rFonts w:hint="eastAsia" w:ascii="仿宋" w:hAnsi="仿宋" w:eastAsia="仿宋"/>
          <w:sz w:val="24"/>
          <w:szCs w:val="24"/>
        </w:rPr>
        <w:t>备注：报价是参选机构完成本项目全部工作内容的费用，包括完成本项目所涉及的人工劳务、设备投入、材料、知识产权、利润、风险、税金等一切费用。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5.投诉处理方案、质量保证方案、疫情防控方案、售后服务方案、</w:t>
      </w:r>
      <w:r>
        <w:rPr>
          <w:rFonts w:hint="eastAsia" w:ascii="仿宋" w:hAnsi="仿宋" w:eastAsia="仿宋"/>
          <w:sz w:val="28"/>
          <w:szCs w:val="28"/>
        </w:rPr>
        <w:t>应急保障措施</w:t>
      </w:r>
      <w:r>
        <w:rPr>
          <w:rFonts w:hint="eastAsia" w:ascii="仿宋" w:hAnsi="仿宋" w:eastAsia="仿宋"/>
          <w:sz w:val="28"/>
          <w:szCs w:val="28"/>
          <w:lang w:eastAsia="zh-CN"/>
        </w:rPr>
        <w:t>等。</w:t>
      </w:r>
    </w:p>
    <w:p>
      <w:pPr>
        <w:rPr>
          <w:rFonts w:ascii="仿宋" w:hAnsi="仿宋" w:eastAsia="仿宋"/>
          <w:sz w:val="28"/>
          <w:szCs w:val="28"/>
        </w:rPr>
      </w:pPr>
    </w:p>
    <w:p>
      <w:pPr>
        <w:rPr>
          <w:rFonts w:ascii="仿宋" w:hAnsi="仿宋" w:eastAsia="仿宋"/>
          <w:sz w:val="28"/>
          <w:szCs w:val="28"/>
        </w:rPr>
      </w:pPr>
    </w:p>
    <w:p>
      <w:pPr>
        <w:pStyle w:val="4"/>
        <w:rPr>
          <w:rFonts w:ascii="仿宋" w:hAnsi="仿宋" w:eastAsia="仿宋"/>
          <w:sz w:val="28"/>
          <w:szCs w:val="28"/>
        </w:rPr>
      </w:pPr>
    </w:p>
    <w:p/>
    <w:p>
      <w:pPr>
        <w:pStyle w:val="2"/>
      </w:pPr>
    </w:p>
    <w:p>
      <w:pPr>
        <w:pStyle w:val="2"/>
      </w:pPr>
    </w:p>
    <w:p>
      <w:pPr>
        <w:pStyle w:val="2"/>
      </w:pPr>
    </w:p>
    <w:p>
      <w:pPr>
        <w:pStyle w:val="2"/>
      </w:pPr>
    </w:p>
    <w:p>
      <w:pPr>
        <w:pStyle w:val="2"/>
      </w:pPr>
    </w:p>
    <w:p>
      <w:pPr>
        <w:pStyle w:val="2"/>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640"/>
        <w:jc w:val="center"/>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rPr>
        <w:t>3.</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rPr>
        <w:t>4.</w:t>
      </w:r>
      <w:r>
        <w:rPr>
          <w:rFonts w:hint="eastAsia" w:ascii="仿宋" w:hAnsi="仿宋" w:eastAsia="仿宋"/>
          <w:color w:val="000000" w:themeColor="text1"/>
          <w:sz w:val="28"/>
          <w:szCs w:val="28"/>
          <w14:textFill>
            <w14:solidFill>
              <w14:schemeClr w14:val="tx1"/>
            </w14:solidFill>
          </w14:textFill>
        </w:rPr>
        <w:t>有效的各资质证文件（副本）</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5.</w:t>
      </w:r>
      <w:r>
        <w:rPr>
          <w:rFonts w:ascii="仿宋" w:hAnsi="仿宋" w:eastAsia="仿宋"/>
          <w:sz w:val="28"/>
          <w:szCs w:val="28"/>
        </w:rPr>
        <w:t>法定代表人授权书（原件，格式见附件</w:t>
      </w:r>
      <w:r>
        <w:rPr>
          <w:rFonts w:hint="eastAsia" w:ascii="仿宋" w:hAnsi="仿宋" w:eastAsia="仿宋"/>
          <w:sz w:val="28"/>
          <w:szCs w:val="28"/>
        </w:rPr>
        <w:t>5</w:t>
      </w:r>
      <w:r>
        <w:rPr>
          <w:rFonts w:ascii="仿宋" w:hAnsi="仿宋" w:eastAsia="仿宋"/>
          <w:sz w:val="28"/>
          <w:szCs w:val="28"/>
        </w:rPr>
        <w:t>）暨经办人授权书，</w:t>
      </w:r>
      <w:r>
        <w:rPr>
          <w:rFonts w:hint="eastAsia" w:ascii="仿宋" w:hAnsi="仿宋" w:eastAsia="仿宋"/>
          <w:sz w:val="28"/>
          <w:szCs w:val="28"/>
        </w:rPr>
        <w:t>法人、经办人身份证（复印件）</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6.参选机构基本情况及其他证明文件等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7.合作方案</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8.封底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4</w:t>
      </w:r>
      <w:r>
        <w:rPr>
          <w:rFonts w:ascii="仿宋" w:hAnsi="仿宋" w:eastAsia="仿宋"/>
          <w:sz w:val="28"/>
          <w:szCs w:val="28"/>
        </w:rPr>
        <w:t>：</w:t>
      </w:r>
    </w:p>
    <w:p>
      <w:pPr>
        <w:adjustRightInd w:val="0"/>
        <w:snapToGrid w:val="0"/>
        <w:spacing w:line="480" w:lineRule="auto"/>
        <w:ind w:firstLine="640"/>
        <w:jc w:val="center"/>
        <w:rPr>
          <w:rFonts w:hint="eastAsia" w:ascii="仿宋" w:hAnsi="仿宋" w:eastAsia="仿宋"/>
          <w:b/>
          <w:sz w:val="32"/>
          <w:szCs w:val="28"/>
        </w:rPr>
      </w:pPr>
      <w:r>
        <w:rPr>
          <w:rFonts w:hint="eastAsia" w:ascii="仿宋" w:hAnsi="仿宋" w:eastAsia="仿宋"/>
          <w:b/>
          <w:sz w:val="32"/>
          <w:szCs w:val="28"/>
        </w:rPr>
        <w:t>偏离表</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二、遴选要求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附件5:</w:t>
      </w:r>
    </w:p>
    <w:p>
      <w:pPr>
        <w:adjustRightInd w:val="0"/>
        <w:snapToGrid w:val="0"/>
        <w:spacing w:line="480" w:lineRule="auto"/>
        <w:ind w:firstLine="640"/>
        <w:jc w:val="center"/>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附件6：</w:t>
      </w:r>
    </w:p>
    <w:p>
      <w:pPr>
        <w:adjustRightInd w:val="0"/>
        <w:snapToGrid w:val="0"/>
        <w:spacing w:line="480" w:lineRule="auto"/>
        <w:ind w:firstLine="640"/>
        <w:jc w:val="center"/>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本公司郑重承诺：我公司自觉遵守《中华人民共和国政府采购法》和《中华人民共和国政府采购法实施条例》的有关规定，我公司在参加本次项目（项目名称：XXXXXXX）遴选活动中，无以下围标、串标行为：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2.不同参选机构委托同一单位或者个人办理遴选事宜；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7.不同参选机构的董事、监事、高管、单位负责人为同一人或者存在控股、管理关系的不同单位参加同一遴选项目；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9.参选机构之间商定部分机构放弃参加遴选活动或者放弃中标、成交；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ascii="仿宋" w:hAnsi="仿宋" w:eastAsia="仿宋"/>
          <w:sz w:val="28"/>
          <w:szCs w:val="28"/>
        </w:rPr>
      </w:pPr>
      <w:r>
        <w:rPr>
          <w:rFonts w:hint="eastAsia" w:ascii="仿宋" w:hAnsi="仿宋" w:eastAsia="仿宋"/>
          <w:sz w:val="28"/>
          <w:szCs w:val="28"/>
        </w:rPr>
        <w:t>日期：   年    月    日</w:t>
      </w:r>
    </w:p>
    <w:p>
      <w:pPr>
        <w:ind w:firstLine="560" w:firstLineChars="200"/>
        <w:rPr>
          <w:rFonts w:ascii="仿宋" w:hAnsi="仿宋" w:eastAsia="仿宋"/>
          <w:sz w:val="28"/>
          <w:szCs w:val="28"/>
        </w:rPr>
      </w:pPr>
    </w:p>
    <w:p>
      <w:pPr>
        <w:ind w:firstLine="3360" w:firstLineChars="1200"/>
        <w:rPr>
          <w:rFonts w:hint="eastAsia"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480" w:lineRule="auto"/>
        <w:jc w:val="both"/>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lang w:val="en-US" w:eastAsia="zh-CN"/>
        </w:rPr>
        <w:t xml:space="preserve">   </w:t>
      </w:r>
      <w:r>
        <w:rPr>
          <w:rFonts w:hint="eastAsia" w:ascii="仿宋" w:hAnsi="仿宋" w:eastAsia="仿宋"/>
          <w:b/>
          <w:sz w:val="32"/>
          <w:szCs w:val="28"/>
        </w:rPr>
        <w:t>评审办法（综合评分明细表）</w:t>
      </w:r>
    </w:p>
    <w:p>
      <w:pPr>
        <w:outlineLvl w:val="0"/>
        <w:rPr>
          <w:rFonts w:ascii="仿宋" w:hAnsi="仿宋" w:eastAsia="仿宋"/>
          <w:sz w:val="28"/>
          <w:szCs w:val="28"/>
        </w:rPr>
      </w:pPr>
    </w:p>
    <w:tbl>
      <w:tblPr>
        <w:tblStyle w:val="12"/>
        <w:tblW w:w="138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0"/>
        <w:gridCol w:w="1284"/>
        <w:gridCol w:w="1250"/>
        <w:gridCol w:w="5034"/>
        <w:gridCol w:w="2001"/>
        <w:gridCol w:w="3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5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3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5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价格</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医学验光配镜项目管理与技术指导费：价格最高的投标报价为评标基准价，其价格为满分。其他投标人的价格分统一按照下列公式计算：投标报价得分=（投标报价/评标基准价）×25。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眼视光继续教育培训带教费：价格最高的投标报价为评标基准价，其价格为满分。其他投标人的价格分统一按照下列公式计算：投标报价得分=（投标报价/评标基准价）×2。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眼视光继续教育管理费：价格最高的投标报价为评标基准价，其价格为满分。其他投标人的价格分统一按照下列公式计算：投标报价得分=（投标报价/评标基准价）×3。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技术要求</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参选机构完全符合“附件1 二、遴选要求”，没有负偏离得24分；非“*”条款技术要求（负偏离），一项扣1分，“*”条款技术要求负偏离的，一项扣6分；扣完为止。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业绩证明（4%）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医学验光配镜方面，2019年1月1日至今在三级及以上医院类似合作案例，每提供1个案例得1分，此项最多4分。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需提供合同复印件及医院等级证明材料并加盖参选机构鲜章。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服务能力</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选机构针对本项目提供的功能性镜片具有仿生复眼离焦技术且有多国专利加持的得3分；参选机构提供的功能性镜片具有≥3种折射率的得3分；参选机构提供的功能性镜片具有离焦变色专利加持的得4分；不提供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r>
              <w:rPr>
                <w:rFonts w:hint="eastAsia" w:ascii="仿宋" w:hAnsi="仿宋" w:eastAsia="仿宋" w:cs="仿宋"/>
                <w:color w:val="000000"/>
                <w:sz w:val="22"/>
                <w:u w:val="none"/>
              </w:rPr>
              <w:t>需提供厂家授权合作书并加盖参选机构鲜章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2019年1月1日至今承担院校培训中心眼视光继续教育项目合作，有相关建设及运营经验的，需提供项目合同复印件或授权合作书，提供的案例院校属于“双一流”大学得10分；其他院校得5分；不提供的不得分。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需提供合同复印件或授权合作书并加盖参选机构鲜章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color w:val="000000"/>
                <w:kern w:val="0"/>
                <w:sz w:val="22"/>
                <w:highlight w:val="none"/>
                <w:u w:val="none"/>
                <w:lang w:bidi="ar"/>
              </w:rPr>
              <w:t>眼视光继续教育方面，参选机构提供眼科领域博导及以上专家参与授课</w:t>
            </w:r>
            <w:r>
              <w:rPr>
                <w:rFonts w:hint="eastAsia" w:ascii="仿宋" w:hAnsi="仿宋" w:eastAsia="仿宋" w:cs="仿宋"/>
                <w:color w:val="000000"/>
                <w:kern w:val="0"/>
                <w:sz w:val="22"/>
                <w:highlight w:val="none"/>
                <w:u w:val="none"/>
                <w:lang w:eastAsia="zh-CN" w:bidi="ar"/>
              </w:rPr>
              <w:t>（提供相应证明材料），</w:t>
            </w:r>
            <w:r>
              <w:rPr>
                <w:rFonts w:hint="eastAsia" w:ascii="仿宋" w:hAnsi="仿宋" w:eastAsia="仿宋" w:cs="仿宋"/>
                <w:color w:val="000000"/>
                <w:kern w:val="0"/>
                <w:sz w:val="22"/>
                <w:highlight w:val="none"/>
                <w:u w:val="none"/>
                <w:lang w:bidi="ar"/>
              </w:rPr>
              <w:t>每提供1名加1分，最多4分</w:t>
            </w:r>
            <w:r>
              <w:rPr>
                <w:rFonts w:hint="eastAsia" w:ascii="仿宋" w:hAnsi="仿宋" w:eastAsia="仿宋" w:cs="仿宋"/>
                <w:color w:val="000000"/>
                <w:kern w:val="0"/>
                <w:sz w:val="22"/>
                <w:highlight w:val="none"/>
                <w:u w:val="none"/>
                <w:lang w:eastAsia="zh-CN" w:bidi="ar"/>
              </w:rPr>
              <w:t>；</w:t>
            </w:r>
            <w:r>
              <w:rPr>
                <w:rFonts w:hint="eastAsia" w:ascii="仿宋" w:hAnsi="仿宋" w:eastAsia="仿宋" w:cs="仿宋"/>
                <w:i w:val="0"/>
                <w:iCs w:val="0"/>
                <w:color w:val="000000"/>
                <w:kern w:val="0"/>
                <w:sz w:val="22"/>
                <w:szCs w:val="22"/>
                <w:highlight w:val="none"/>
                <w:u w:val="none"/>
                <w:lang w:val="en-US" w:eastAsia="zh-CN" w:bidi="ar"/>
              </w:rPr>
              <w:t>不提供的不得分。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选机构根据本项目提供的服务方案(方案内容应包含1.投诉处理方案；2.质量保证方案；3.疫情防控方案；4.售后服务方案；5.应急服务方案；）进行综合评比：（1）服务方案内容全面、科学合理、针对性强得11-15分；（2）服务方案内容较为全面、较为科学合理、针对性较强得6-10分；（3）服务方案内容基本全面、基本科学合理、针对性一般1-5；（4）服务方案内容不全面、不科学合理、针对性差或者未提供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方案及</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演示    （3分）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公告要求编制方案及PPT，从方案及PPT演示的内容、质量等方面进行综合评比，PPT演示时间10分钟以内，（1）方案及PPT内容全面、科学合理、针对性强得3分；（2）方案及PPT内容较为全面、较为科学合理、针对性较强得1分；（3）方案及PPT内容不全面、不科学合理、针对性差或未提供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bl>
    <w:p>
      <w:pPr>
        <w:rPr>
          <w:rFonts w:ascii="仿宋" w:hAnsi="仿宋" w:eastAsia="仿宋"/>
          <w:sz w:val="28"/>
          <w:szCs w:val="28"/>
        </w:rPr>
      </w:pPr>
    </w:p>
    <w:sectPr>
      <w:pgSz w:w="16838" w:h="11906" w:orient="landscape"/>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7865CC1"/>
    <w:rsid w:val="0D0D639A"/>
    <w:rsid w:val="0D4D6A8C"/>
    <w:rsid w:val="0EC10A41"/>
    <w:rsid w:val="0EC61D01"/>
    <w:rsid w:val="10A31851"/>
    <w:rsid w:val="135103B7"/>
    <w:rsid w:val="13A659AB"/>
    <w:rsid w:val="146A0021"/>
    <w:rsid w:val="15B036FB"/>
    <w:rsid w:val="174D31CB"/>
    <w:rsid w:val="1A2B77F4"/>
    <w:rsid w:val="1AB36AD5"/>
    <w:rsid w:val="1B5E59A7"/>
    <w:rsid w:val="1BE3708C"/>
    <w:rsid w:val="1D77071A"/>
    <w:rsid w:val="1DDA0EB6"/>
    <w:rsid w:val="1E55507B"/>
    <w:rsid w:val="1F9F2057"/>
    <w:rsid w:val="1FC20CFF"/>
    <w:rsid w:val="20C368F8"/>
    <w:rsid w:val="211E7B23"/>
    <w:rsid w:val="225E4AC7"/>
    <w:rsid w:val="22E14319"/>
    <w:rsid w:val="232F02A4"/>
    <w:rsid w:val="27363334"/>
    <w:rsid w:val="286D5C93"/>
    <w:rsid w:val="2AA40CE7"/>
    <w:rsid w:val="2BD30E9C"/>
    <w:rsid w:val="2E920B22"/>
    <w:rsid w:val="2F643C4E"/>
    <w:rsid w:val="33FE18E2"/>
    <w:rsid w:val="35853A9F"/>
    <w:rsid w:val="358E7516"/>
    <w:rsid w:val="36D52B69"/>
    <w:rsid w:val="374C704E"/>
    <w:rsid w:val="3C676D43"/>
    <w:rsid w:val="3CEA420A"/>
    <w:rsid w:val="3F5D2B3A"/>
    <w:rsid w:val="3F9F4367"/>
    <w:rsid w:val="3FBB48C6"/>
    <w:rsid w:val="40270DAD"/>
    <w:rsid w:val="412C40D1"/>
    <w:rsid w:val="453B46DA"/>
    <w:rsid w:val="459D541B"/>
    <w:rsid w:val="4B466FC9"/>
    <w:rsid w:val="4E6E7530"/>
    <w:rsid w:val="52725202"/>
    <w:rsid w:val="55BF6A67"/>
    <w:rsid w:val="560C305F"/>
    <w:rsid w:val="61A6391B"/>
    <w:rsid w:val="61E723CC"/>
    <w:rsid w:val="621C1D54"/>
    <w:rsid w:val="62C61B62"/>
    <w:rsid w:val="631A75CF"/>
    <w:rsid w:val="6C66644F"/>
    <w:rsid w:val="6C8C675E"/>
    <w:rsid w:val="73EF0213"/>
    <w:rsid w:val="7478299F"/>
    <w:rsid w:val="748950FC"/>
    <w:rsid w:val="77C95EEC"/>
    <w:rsid w:val="789D7585"/>
    <w:rsid w:val="78D22FF2"/>
    <w:rsid w:val="79984985"/>
    <w:rsid w:val="79996D18"/>
    <w:rsid w:val="7AD47607"/>
    <w:rsid w:val="7ADC2D9C"/>
    <w:rsid w:val="7CC35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rPr>
  </w:style>
  <w:style w:type="paragraph" w:styleId="3">
    <w:name w:val="annotation text"/>
    <w:basedOn w:val="1"/>
    <w:link w:val="20"/>
    <w:semiHidden/>
    <w:unhideWhenUsed/>
    <w:qFormat/>
    <w:uiPriority w:val="99"/>
    <w:pPr>
      <w:jc w:val="left"/>
    </w:pPr>
  </w:style>
  <w:style w:type="paragraph" w:styleId="4">
    <w:name w:val="Body Text"/>
    <w:basedOn w:val="1"/>
    <w:next w:val="1"/>
    <w:semiHidden/>
    <w:unhideWhenUsed/>
    <w:qFormat/>
    <w:uiPriority w:val="99"/>
    <w:pPr>
      <w:spacing w:after="120"/>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paragraph" w:styleId="10">
    <w:name w:val="annotation subject"/>
    <w:basedOn w:val="3"/>
    <w:next w:val="3"/>
    <w:link w:val="21"/>
    <w:semiHidden/>
    <w:unhideWhenUsed/>
    <w:qFormat/>
    <w:uiPriority w:val="99"/>
    <w:rPr>
      <w:b/>
      <w:bCs/>
    </w:rPr>
  </w:style>
  <w:style w:type="paragraph" w:styleId="11">
    <w:name w:val="Body Text First Indent"/>
    <w:basedOn w:val="4"/>
    <w:next w:val="1"/>
    <w:qFormat/>
    <w:uiPriority w:val="0"/>
    <w:pPr>
      <w:ind w:firstLine="420" w:firstLineChars="1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rPr>
  </w:style>
  <w:style w:type="character" w:styleId="16">
    <w:name w:val="annotation reference"/>
    <w:basedOn w:val="14"/>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basedOn w:val="14"/>
    <w:link w:val="3"/>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4"/>
    <w:link w:val="6"/>
    <w:semiHidden/>
    <w:qFormat/>
    <w:uiPriority w:val="99"/>
    <w:rPr>
      <w:sz w:val="18"/>
      <w:szCs w:val="18"/>
    </w:rPr>
  </w:style>
  <w:style w:type="character" w:customStyle="1" w:styleId="23">
    <w:name w:val="日期 Char"/>
    <w:basedOn w:val="14"/>
    <w:link w:val="5"/>
    <w:semiHidden/>
    <w:qFormat/>
    <w:uiPriority w:val="99"/>
  </w:style>
  <w:style w:type="table" w:customStyle="1" w:styleId="24">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表格文字"/>
    <w:basedOn w:val="26"/>
    <w:qFormat/>
    <w:uiPriority w:val="0"/>
  </w:style>
  <w:style w:type="paragraph" w:customStyle="1" w:styleId="26">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character" w:customStyle="1" w:styleId="2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6692</Words>
  <Characters>6969</Characters>
  <Lines>49</Lines>
  <Paragraphs>13</Paragraphs>
  <TotalTime>24</TotalTime>
  <ScaleCrop>false</ScaleCrop>
  <LinksUpToDate>false</LinksUpToDate>
  <CharactersWithSpaces>7091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2022-09-21T02:41:11Z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2052-11.1.0.12358</vt:lpwstr>
  </property>
  <property fmtid="{D5CDD505-2E9C-101B-9397-08002B2CF9AE}" pid="4" name="ICV">
    <vt:lpwstr>1B95A365F0854EEB93022B4CCFD5E3FA</vt:lpwstr>
  </property>
</Properties>
</file>